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8752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98752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8752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8752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8752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98752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8752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98752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8752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1F91BB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7525">
              <w:rPr>
                <w:rFonts w:ascii="Titillium Web" w:hAnsi="Titillium Web"/>
                <w:i/>
                <w:iCs/>
                <w:szCs w:val="24"/>
              </w:rPr>
              <w:t>Tomba 232 - a umazione -</w:t>
            </w:r>
          </w:p>
          <w:p w14:paraId="4526870F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7525">
              <w:rPr>
                <w:rFonts w:ascii="Titillium Web" w:hAnsi="Titillium Web"/>
                <w:i/>
                <w:iCs/>
                <w:szCs w:val="24"/>
              </w:rPr>
              <w:t>A 0,60 a nord dalla precedente tomba, a m. 1,25 di prof.tà, giaceva:</w:t>
            </w:r>
          </w:p>
          <w:p w14:paraId="72182B7B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7525">
              <w:rPr>
                <w:rFonts w:ascii="Titillium Web" w:hAnsi="Titillium Web"/>
                <w:i/>
                <w:iCs/>
                <w:szCs w:val="24"/>
              </w:rPr>
              <w:t>uno scheletro orientato ponente a lev.</w:t>
            </w:r>
          </w:p>
          <w:p w14:paraId="2448F024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7525">
              <w:rPr>
                <w:rFonts w:ascii="Titillium Web" w:hAnsi="Titillium Web"/>
                <w:i/>
                <w:iCs/>
                <w:szCs w:val="24"/>
              </w:rPr>
              <w:t>Presso la testa, a destra aveva:</w:t>
            </w:r>
          </w:p>
          <w:p w14:paraId="1D3162A2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8752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87525">
              <w:rPr>
                <w:rFonts w:ascii="Titillium Web" w:hAnsi="Titillium Web"/>
                <w:i/>
                <w:iCs/>
                <w:szCs w:val="24"/>
              </w:rPr>
              <w:t xml:space="preserve"> piattelli di terra giallognola di impasto locale grezzi (uno rotto e marcito)</w:t>
            </w:r>
          </w:p>
          <w:p w14:paraId="0AA19442" w14:textId="77777777" w:rsidR="003B0F01" w:rsidRPr="00987525" w:rsidRDefault="005B3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87525">
              <w:rPr>
                <w:rFonts w:ascii="Titillium Web" w:hAnsi="Titillium Web"/>
                <w:i/>
                <w:iCs/>
                <w:szCs w:val="24"/>
              </w:rPr>
              <w:t>Null’altro –</w:t>
            </w:r>
          </w:p>
        </w:tc>
      </w:tr>
      <w:tr w:rsidR="0086297F" w:rsidRPr="0098752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8752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752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752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8752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8752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8752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8752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3C14C50" w14:textId="77777777" w:rsidR="003B0F01" w:rsidRPr="00987525" w:rsidRDefault="005B32D0" w:rsidP="00987525">
            <w:pPr>
              <w:jc w:val="center"/>
              <w:rPr>
                <w:rFonts w:ascii="Titillium Web" w:hAnsi="Titillium Web"/>
                <w:szCs w:val="24"/>
              </w:rPr>
            </w:pPr>
            <w:r w:rsidRPr="0098752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987525">
              <w:rPr>
                <w:rFonts w:ascii="Titillium Web" w:eastAsia="Titillium" w:hAnsi="Titillium Web" w:cs="Titillium"/>
                <w:szCs w:val="24"/>
              </w:rPr>
              <w:t xml:space="preserve"> 1927, p. 150; </w:t>
            </w:r>
            <w:r w:rsidRPr="0098752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8752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0F01"/>
    <w:rsid w:val="00472AF4"/>
    <w:rsid w:val="00551AF8"/>
    <w:rsid w:val="005B5AFF"/>
    <w:rsid w:val="006162A4"/>
    <w:rsid w:val="006346F7"/>
    <w:rsid w:val="006D6EFB"/>
    <w:rsid w:val="007145BC"/>
    <w:rsid w:val="0086297F"/>
    <w:rsid w:val="00987525"/>
    <w:rsid w:val="009E4922"/>
    <w:rsid w:val="00AB321D"/>
    <w:rsid w:val="00B165C4"/>
    <w:rsid w:val="00C21EE0"/>
    <w:rsid w:val="00D900AB"/>
    <w:rsid w:val="00D936E8"/>
    <w:rsid w:val="00E24633"/>
    <w:rsid w:val="00EE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2026-05-18T09:29:00Z</dcterms:modified>
</cp:coreProperties>
</file>