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C30F5C" w:rsidR="00472AF4" w:rsidP="001B5504" w:rsidRDefault="00014214" w14:paraId="1F3F8408" w14:textId="0B5C78B4">
      <w:pPr>
        <w:jc w:val="center"/>
        <w:rPr>
          <w:rFonts w:ascii="Titillium Web" w:hAnsi="Titillium Web"/>
          <w:b/>
          <w:bCs/>
          <w:sz w:val="28"/>
          <w:szCs w:val="24"/>
        </w:rPr>
      </w:pPr>
      <w:r w:rsidRPr="00C30F5C">
        <w:rPr>
          <w:rFonts w:ascii="Titillium Web" w:hAnsi="Titillium Web"/>
          <w:b/>
          <w:bCs/>
          <w:sz w:val="28"/>
          <w:szCs w:val="24"/>
        </w:rPr>
        <w:t>Valle Trebba – Tomba 24</w:t>
      </w:r>
    </w:p>
    <w:tbl>
      <w:tblPr>
        <w:tblStyle w:val="Grigliatabella"/>
        <w:tblW w:w="5000" w:type="pct"/>
        <w:jc w:val="center"/>
        <w:tblLook w:val="04A0" w:firstRow="1" w:lastRow="0" w:firstColumn="1" w:lastColumn="0" w:noHBand="0" w:noVBand="1"/>
      </w:tblPr>
      <w:tblGrid>
        <w:gridCol w:w="2990"/>
        <w:gridCol w:w="6070"/>
      </w:tblGrid>
      <w:tr w:rsidRPr="003F1FA4" w:rsidR="001B5504" w:rsidTr="2CDE2F47" w14:paraId="7E897B51" w14:textId="77777777">
        <w:trPr>
          <w:jc w:val="center"/>
        </w:trPr>
        <w:tc>
          <w:tcPr>
            <w:tcW w:w="1650" w:type="pct"/>
            <w:tcMar/>
            <w:vAlign w:val="center"/>
          </w:tcPr>
          <w:p w:rsidRPr="003F1FA4" w:rsidR="001B5504" w:rsidP="00BF212E" w:rsidRDefault="001B5504" w14:paraId="42CC7784" w14:textId="77777777">
            <w:pPr>
              <w:jc w:val="center"/>
              <w:rPr>
                <w:rFonts w:ascii="Titillium Web" w:hAnsi="Titillium Web"/>
                <w:smallCaps/>
                <w:szCs w:val="24"/>
              </w:rPr>
            </w:pPr>
            <w:r w:rsidRPr="003F1FA4">
              <w:rPr>
                <w:rFonts w:ascii="Titillium Web" w:hAnsi="Titillium Web"/>
                <w:smallCaps/>
                <w:szCs w:val="24"/>
              </w:rPr>
              <w:t>Anno di rinvenimento</w:t>
            </w:r>
          </w:p>
        </w:tc>
        <w:tc>
          <w:tcPr>
            <w:tcW w:w="3350" w:type="pct"/>
            <w:tcMar/>
            <w:vAlign w:val="center"/>
          </w:tcPr>
          <w:p w:rsidRPr="003F1FA4" w:rsidR="001B5504" w:rsidP="00BF212E" w:rsidRDefault="001B5504" w14:paraId="3911E4F6" w14:textId="6BFD1686">
            <w:pPr>
              <w:jc w:val="center"/>
              <w:rPr>
                <w:rFonts w:ascii="Titillium Web" w:hAnsi="Titillium Web"/>
                <w:szCs w:val="24"/>
              </w:rPr>
            </w:pPr>
            <w:r w:rsidRPr="003F1FA4">
              <w:rPr>
                <w:rFonts w:ascii="Titillium Web" w:hAnsi="Titillium Web"/>
                <w:szCs w:val="24"/>
              </w:rPr>
              <w:t>1922</w:t>
            </w:r>
          </w:p>
        </w:tc>
      </w:tr>
      <w:tr w:rsidRPr="003F1FA4" w:rsidR="001B5504" w:rsidTr="2CDE2F47" w14:paraId="4120B077" w14:textId="77777777">
        <w:trPr>
          <w:jc w:val="center"/>
        </w:trPr>
        <w:tc>
          <w:tcPr>
            <w:tcW w:w="1650" w:type="pct"/>
            <w:tcMar/>
            <w:vAlign w:val="center"/>
          </w:tcPr>
          <w:p w:rsidRPr="003F1FA4" w:rsidR="001B5504" w:rsidP="00BF212E" w:rsidRDefault="001B5504" w14:paraId="7B4CDD57" w14:textId="77777777">
            <w:pPr>
              <w:jc w:val="center"/>
              <w:rPr>
                <w:rFonts w:ascii="Titillium Web" w:hAnsi="Titillium Web"/>
                <w:smallCaps/>
                <w:szCs w:val="24"/>
              </w:rPr>
            </w:pPr>
            <w:r w:rsidRPr="003F1FA4">
              <w:rPr>
                <w:rFonts w:ascii="Titillium Web" w:hAnsi="Titillium Web"/>
                <w:smallCaps/>
                <w:szCs w:val="24"/>
              </w:rPr>
              <w:t>Stato di conservazione della tomba</w:t>
            </w:r>
          </w:p>
        </w:tc>
        <w:tc>
          <w:tcPr>
            <w:tcW w:w="3350" w:type="pct"/>
            <w:tcMar/>
            <w:vAlign w:val="center"/>
          </w:tcPr>
          <w:p w:rsidRPr="003F1FA4" w:rsidR="001B5504" w:rsidP="00BF212E" w:rsidRDefault="001B5504" w14:paraId="4ED449D1" w14:textId="67560E4F">
            <w:pPr>
              <w:jc w:val="center"/>
              <w:rPr>
                <w:rFonts w:ascii="Titillium Web" w:hAnsi="Titillium Web"/>
                <w:szCs w:val="24"/>
              </w:rPr>
            </w:pPr>
            <w:r w:rsidRPr="003F1FA4">
              <w:rPr>
                <w:rFonts w:ascii="Titillium Web" w:hAnsi="Titillium Web"/>
                <w:szCs w:val="24"/>
              </w:rPr>
              <w:t>Sconvolta</w:t>
            </w:r>
          </w:p>
        </w:tc>
      </w:tr>
      <w:tr w:rsidRPr="003F1FA4" w:rsidR="001B5504" w:rsidTr="2CDE2F47" w14:paraId="7A448E9D" w14:textId="77777777">
        <w:trPr>
          <w:jc w:val="center"/>
        </w:trPr>
        <w:tc>
          <w:tcPr>
            <w:tcW w:w="1650" w:type="pct"/>
            <w:tcMar/>
            <w:vAlign w:val="center"/>
          </w:tcPr>
          <w:p w:rsidRPr="003F1FA4" w:rsidR="001B5504" w:rsidP="00BF212E" w:rsidRDefault="001B5504" w14:paraId="1E1EA165" w14:textId="77777777">
            <w:pPr>
              <w:jc w:val="center"/>
              <w:rPr>
                <w:rFonts w:ascii="Titillium Web" w:hAnsi="Titillium Web"/>
                <w:smallCaps/>
                <w:szCs w:val="24"/>
              </w:rPr>
            </w:pPr>
            <w:r w:rsidRPr="003F1FA4">
              <w:rPr>
                <w:rFonts w:ascii="Titillium Web" w:hAnsi="Titillium Web"/>
                <w:smallCaps/>
                <w:szCs w:val="24"/>
              </w:rPr>
              <w:t>Rito di seppellimento</w:t>
            </w:r>
          </w:p>
        </w:tc>
        <w:tc>
          <w:tcPr>
            <w:tcW w:w="3350" w:type="pct"/>
            <w:tcMar/>
            <w:vAlign w:val="center"/>
          </w:tcPr>
          <w:p w:rsidRPr="003F1FA4" w:rsidR="001B5504" w:rsidP="00BF212E" w:rsidRDefault="001B5504" w14:paraId="18226334" w14:textId="6B6FE1CF">
            <w:pPr>
              <w:jc w:val="center"/>
              <w:rPr>
                <w:rFonts w:ascii="Titillium Web" w:hAnsi="Titillium Web"/>
                <w:szCs w:val="24"/>
              </w:rPr>
            </w:pPr>
            <w:r w:rsidRPr="003F1FA4">
              <w:rPr>
                <w:rFonts w:ascii="Titillium Web" w:hAnsi="Titillium Web"/>
                <w:szCs w:val="24"/>
              </w:rPr>
              <w:t>Cremazione</w:t>
            </w:r>
          </w:p>
        </w:tc>
      </w:tr>
      <w:tr w:rsidRPr="003F1FA4" w:rsidR="001B5504" w:rsidTr="2CDE2F47" w14:paraId="31276AA4" w14:textId="77777777">
        <w:trPr>
          <w:jc w:val="center"/>
        </w:trPr>
        <w:tc>
          <w:tcPr>
            <w:tcW w:w="1650" w:type="pct"/>
            <w:tcMar/>
            <w:vAlign w:val="center"/>
          </w:tcPr>
          <w:p w:rsidRPr="003F1FA4" w:rsidR="001B5504" w:rsidP="00BF212E" w:rsidRDefault="001B5504" w14:paraId="33201D3D" w14:textId="77777777">
            <w:pPr>
              <w:jc w:val="center"/>
              <w:rPr>
                <w:rFonts w:ascii="Titillium Web" w:hAnsi="Titillium Web"/>
                <w:smallCaps/>
                <w:szCs w:val="24"/>
              </w:rPr>
            </w:pPr>
            <w:r w:rsidRPr="003F1FA4">
              <w:rPr>
                <w:rFonts w:ascii="Titillium Web" w:hAnsi="Titillium Web"/>
                <w:smallCaps/>
                <w:szCs w:val="24"/>
              </w:rPr>
              <w:t>Struttura tomba</w:t>
            </w:r>
          </w:p>
        </w:tc>
        <w:tc>
          <w:tcPr>
            <w:tcW w:w="3350" w:type="pct"/>
            <w:tcMar/>
            <w:vAlign w:val="center"/>
          </w:tcPr>
          <w:p w:rsidRPr="003F1FA4" w:rsidR="001B5504" w:rsidP="00BF212E" w:rsidRDefault="001B5504" w14:paraId="720E7EE7" w14:textId="3E36BEBB">
            <w:pPr>
              <w:jc w:val="center"/>
              <w:rPr>
                <w:rFonts w:ascii="Titillium Web" w:hAnsi="Titillium Web"/>
                <w:szCs w:val="24"/>
              </w:rPr>
            </w:pPr>
            <w:r w:rsidRPr="003F1FA4">
              <w:rPr>
                <w:rFonts w:ascii="Titillium Web" w:hAnsi="Titillium Web"/>
                <w:szCs w:val="24"/>
              </w:rPr>
              <w:t>Pozzetto semplice</w:t>
            </w:r>
          </w:p>
        </w:tc>
      </w:tr>
      <w:tr w:rsidRPr="003F1FA4" w:rsidR="001B5504" w:rsidTr="2CDE2F47" w14:paraId="07337DA2" w14:textId="77777777">
        <w:trPr>
          <w:jc w:val="center"/>
        </w:trPr>
        <w:tc>
          <w:tcPr>
            <w:tcW w:w="1650" w:type="pct"/>
            <w:tcMar/>
            <w:vAlign w:val="center"/>
          </w:tcPr>
          <w:p w:rsidRPr="003F1FA4" w:rsidR="001B5504" w:rsidP="00BF212E" w:rsidRDefault="001B5504" w14:paraId="5032DFD5" w14:textId="77777777">
            <w:pPr>
              <w:jc w:val="center"/>
              <w:rPr>
                <w:rFonts w:ascii="Titillium Web" w:hAnsi="Titillium Web"/>
                <w:smallCaps/>
                <w:szCs w:val="24"/>
              </w:rPr>
            </w:pPr>
            <w:r w:rsidRPr="003F1FA4">
              <w:rPr>
                <w:rFonts w:ascii="Titillium Web" w:hAnsi="Titillium Web"/>
                <w:smallCaps/>
                <w:szCs w:val="24"/>
              </w:rPr>
              <w:t>Profondità dal piano di campagna</w:t>
            </w:r>
          </w:p>
        </w:tc>
        <w:tc>
          <w:tcPr>
            <w:tcW w:w="3350" w:type="pct"/>
            <w:tcMar/>
            <w:vAlign w:val="center"/>
          </w:tcPr>
          <w:p w:rsidRPr="003F1FA4" w:rsidR="001B5504" w:rsidP="00BF212E" w:rsidRDefault="001B5504" w14:paraId="4AC1C871" w14:textId="553FE193">
            <w:pPr>
              <w:jc w:val="center"/>
              <w:rPr>
                <w:rFonts w:ascii="Titillium Web" w:hAnsi="Titillium Web"/>
                <w:szCs w:val="24"/>
              </w:rPr>
            </w:pPr>
            <w:r w:rsidRPr="003F1FA4">
              <w:rPr>
                <w:rFonts w:ascii="Titillium Web" w:hAnsi="Titillium Web"/>
                <w:szCs w:val="24"/>
              </w:rPr>
              <w:t>0,90 m</w:t>
            </w:r>
          </w:p>
        </w:tc>
      </w:tr>
      <w:tr w:rsidRPr="003F1FA4" w:rsidR="001B5504" w:rsidTr="2CDE2F47" w14:paraId="16F9D287" w14:textId="77777777">
        <w:trPr>
          <w:jc w:val="center"/>
        </w:trPr>
        <w:tc>
          <w:tcPr>
            <w:tcW w:w="1650" w:type="pct"/>
            <w:tcMar/>
            <w:vAlign w:val="center"/>
          </w:tcPr>
          <w:p w:rsidRPr="003F1FA4" w:rsidR="001B5504" w:rsidP="00BF212E" w:rsidRDefault="001B5504" w14:paraId="5D675683" w14:textId="77777777">
            <w:pPr>
              <w:jc w:val="center"/>
              <w:rPr>
                <w:rFonts w:ascii="Titillium Web" w:hAnsi="Titillium Web"/>
                <w:smallCaps/>
                <w:szCs w:val="24"/>
              </w:rPr>
            </w:pPr>
            <w:r w:rsidRPr="003F1FA4">
              <w:rPr>
                <w:rFonts w:ascii="Titillium Web" w:hAnsi="Titillium Web"/>
                <w:smallCaps/>
                <w:szCs w:val="24"/>
              </w:rPr>
              <w:t>Dimensioni della sepoltura</w:t>
            </w:r>
          </w:p>
        </w:tc>
        <w:tc>
          <w:tcPr>
            <w:tcW w:w="3350" w:type="pct"/>
            <w:tcMar/>
            <w:vAlign w:val="center"/>
          </w:tcPr>
          <w:p w:rsidRPr="003F1FA4" w:rsidR="001B5504" w:rsidP="00BF212E" w:rsidRDefault="001B5504" w14:paraId="606ED54D" w14:textId="0EBDB5D9">
            <w:pPr>
              <w:jc w:val="center"/>
              <w:rPr>
                <w:rFonts w:ascii="Titillium Web" w:hAnsi="Titillium Web"/>
                <w:szCs w:val="24"/>
              </w:rPr>
            </w:pPr>
            <w:r w:rsidRPr="003F1FA4">
              <w:rPr>
                <w:rFonts w:ascii="Titillium Web" w:hAnsi="Titillium Web"/>
                <w:szCs w:val="24"/>
              </w:rPr>
              <w:t>Dimensioni non registrate</w:t>
            </w:r>
          </w:p>
        </w:tc>
      </w:tr>
      <w:tr w:rsidRPr="003F1FA4" w:rsidR="001B5504" w:rsidTr="2CDE2F47" w14:paraId="3DCDE8C5" w14:textId="77777777">
        <w:trPr>
          <w:jc w:val="center"/>
        </w:trPr>
        <w:tc>
          <w:tcPr>
            <w:tcW w:w="1650" w:type="pct"/>
            <w:tcMar/>
            <w:vAlign w:val="center"/>
          </w:tcPr>
          <w:p w:rsidRPr="003F1FA4" w:rsidR="001B5504" w:rsidP="00BF212E" w:rsidRDefault="001B5504" w14:paraId="090E3992" w14:textId="77777777">
            <w:pPr>
              <w:jc w:val="center"/>
              <w:rPr>
                <w:rFonts w:ascii="Titillium Web" w:hAnsi="Titillium Web"/>
                <w:smallCaps/>
                <w:szCs w:val="24"/>
              </w:rPr>
            </w:pPr>
            <w:r w:rsidRPr="003F1FA4">
              <w:rPr>
                <w:rFonts w:ascii="Titillium Web" w:hAnsi="Titillium Web"/>
                <w:smallCaps/>
                <w:szCs w:val="24"/>
              </w:rPr>
              <w:t>Orientamento dello scheletro</w:t>
            </w:r>
          </w:p>
        </w:tc>
        <w:tc>
          <w:tcPr>
            <w:tcW w:w="3350" w:type="pct"/>
            <w:tcMar/>
            <w:vAlign w:val="center"/>
          </w:tcPr>
          <w:p w:rsidRPr="003F1FA4" w:rsidR="001B5504" w:rsidP="00BF212E" w:rsidRDefault="003F1FA4" w14:paraId="01C3562F" w14:textId="468D2CE0">
            <w:pPr>
              <w:jc w:val="center"/>
              <w:rPr>
                <w:rFonts w:ascii="Titillium Web" w:hAnsi="Titillium Web"/>
                <w:szCs w:val="24"/>
              </w:rPr>
            </w:pPr>
            <w:r w:rsidRPr="003F1FA4">
              <w:rPr>
                <w:rFonts w:ascii="Titillium Web" w:hAnsi="Titillium Web"/>
                <w:szCs w:val="24"/>
              </w:rPr>
              <w:t>/</w:t>
            </w:r>
          </w:p>
        </w:tc>
      </w:tr>
      <w:tr w:rsidRPr="003F1FA4" w:rsidR="001B5504" w:rsidTr="2CDE2F47" w14:paraId="5978151F" w14:textId="77777777">
        <w:trPr>
          <w:jc w:val="center"/>
        </w:trPr>
        <w:tc>
          <w:tcPr>
            <w:tcW w:w="1650" w:type="pct"/>
            <w:tcMar/>
            <w:vAlign w:val="center"/>
          </w:tcPr>
          <w:p w:rsidRPr="003F1FA4" w:rsidR="001B5504" w:rsidP="00BF212E" w:rsidRDefault="001B5504" w14:paraId="1F67A10B" w14:textId="77777777">
            <w:pPr>
              <w:jc w:val="center"/>
              <w:rPr>
                <w:rFonts w:ascii="Titillium Web" w:hAnsi="Titillium Web"/>
                <w:smallCaps/>
                <w:szCs w:val="24"/>
              </w:rPr>
            </w:pPr>
            <w:r w:rsidRPr="003F1FA4">
              <w:rPr>
                <w:rFonts w:ascii="Titillium Web" w:hAnsi="Titillium Web"/>
                <w:smallCaps/>
                <w:szCs w:val="24"/>
              </w:rPr>
              <w:t>Segnacolo</w:t>
            </w:r>
          </w:p>
        </w:tc>
        <w:tc>
          <w:tcPr>
            <w:tcW w:w="3350" w:type="pct"/>
            <w:tcMar/>
            <w:vAlign w:val="center"/>
          </w:tcPr>
          <w:p w:rsidRPr="003F1FA4" w:rsidR="001B5504" w:rsidP="00BF212E" w:rsidRDefault="003F1FA4" w14:paraId="6599D472" w14:textId="30FF64AB">
            <w:pPr>
              <w:jc w:val="center"/>
              <w:rPr>
                <w:rFonts w:ascii="Titillium Web" w:hAnsi="Titillium Web"/>
                <w:szCs w:val="24"/>
              </w:rPr>
            </w:pPr>
            <w:r w:rsidRPr="003F1FA4">
              <w:rPr>
                <w:rFonts w:ascii="Titillium Web" w:hAnsi="Titillium Web"/>
                <w:szCs w:val="24"/>
              </w:rPr>
              <w:t>/</w:t>
            </w:r>
          </w:p>
        </w:tc>
      </w:tr>
      <w:tr w:rsidRPr="003F1FA4" w:rsidR="001B5504" w:rsidTr="2CDE2F47" w14:paraId="28E05F99" w14:textId="77777777">
        <w:trPr>
          <w:jc w:val="center"/>
        </w:trPr>
        <w:tc>
          <w:tcPr>
            <w:tcW w:w="1650" w:type="pct"/>
            <w:tcMar/>
            <w:vAlign w:val="center"/>
          </w:tcPr>
          <w:p w:rsidRPr="003F1FA4" w:rsidR="001B5504" w:rsidP="001F2833" w:rsidRDefault="001B5504" w14:paraId="6ECF1BD4" w14:textId="77777777">
            <w:pPr>
              <w:spacing w:before="120" w:after="120"/>
              <w:jc w:val="center"/>
              <w:rPr>
                <w:rFonts w:ascii="Titillium Web" w:hAnsi="Titillium Web"/>
                <w:smallCaps/>
                <w:szCs w:val="24"/>
              </w:rPr>
            </w:pPr>
            <w:r w:rsidRPr="003F1FA4">
              <w:rPr>
                <w:rFonts w:ascii="Titillium Web" w:hAnsi="Titillium Web"/>
                <w:smallCaps/>
                <w:szCs w:val="24"/>
              </w:rPr>
              <w:t>Giornale di scavo (GdS)</w:t>
            </w:r>
          </w:p>
        </w:tc>
        <w:tc>
          <w:tcPr>
            <w:tcW w:w="3350" w:type="pct"/>
            <w:tcMar/>
            <w:vAlign w:val="center"/>
          </w:tcPr>
          <w:p w:rsidRPr="003F1FA4" w:rsidR="001B5504" w:rsidP="00BF212E" w:rsidRDefault="001B5504" w14:paraId="1A6B7E7E" w14:textId="319197F0">
            <w:pPr>
              <w:jc w:val="left"/>
              <w:rPr>
                <w:rFonts w:ascii="Titillium Web" w:hAnsi="Titillium Web"/>
                <w:i/>
                <w:iCs/>
                <w:szCs w:val="24"/>
              </w:rPr>
            </w:pPr>
            <w:r w:rsidRPr="003F1FA4">
              <w:rPr>
                <w:rFonts w:ascii="Titillium Web" w:hAnsi="Titillium Web"/>
                <w:i/>
                <w:iCs/>
                <w:szCs w:val="24"/>
              </w:rPr>
              <w:t>lì 11 maggio</w:t>
            </w:r>
            <w:r w:rsidRPr="003F1FA4">
              <w:rPr>
                <w:rFonts w:ascii="Titillium Web" w:hAnsi="Titillium Web"/>
                <w:i/>
                <w:iCs/>
                <w:szCs w:val="24"/>
              </w:rPr>
              <w:br/>
            </w:r>
            <w:r w:rsidRPr="003F1FA4">
              <w:rPr>
                <w:rFonts w:ascii="Titillium Web" w:hAnsi="Titillium Web"/>
                <w:i/>
                <w:iCs/>
                <w:szCs w:val="24"/>
              </w:rPr>
              <w:t>Tomba 24 a cremazione (saccheggiata)</w:t>
            </w:r>
            <w:r w:rsidRPr="003F1FA4">
              <w:rPr>
                <w:rFonts w:ascii="Titillium Web" w:hAnsi="Titillium Web"/>
                <w:i/>
                <w:iCs/>
                <w:szCs w:val="24"/>
              </w:rPr>
              <w:br/>
            </w:r>
            <w:r w:rsidRPr="003F1FA4">
              <w:rPr>
                <w:rFonts w:ascii="Titillium Web" w:hAnsi="Titillium Web"/>
                <w:i/>
                <w:iCs/>
                <w:szCs w:val="24"/>
              </w:rPr>
              <w:t>A m. 56 dalla 0 e a m. 12 a lev. della tomba 16 si rinvengono alla profondità di m. 0,90 gli avanzi di una tomba saccheggiata e forse fuori di posto.</w:t>
            </w:r>
            <w:r w:rsidRPr="003F1FA4">
              <w:rPr>
                <w:rFonts w:ascii="Titillium Web" w:hAnsi="Titillium Web"/>
                <w:i/>
                <w:iCs/>
                <w:szCs w:val="24"/>
              </w:rPr>
              <w:br/>
            </w:r>
            <w:r w:rsidRPr="003F1FA4">
              <w:rPr>
                <w:rFonts w:ascii="Titillium Web" w:hAnsi="Titillium Web"/>
                <w:i/>
                <w:iCs/>
                <w:szCs w:val="24"/>
              </w:rPr>
              <w:t>A lev. e a pon. il dosso declina verso delle bassure o avallamenti che in antico dovevano essere canali (specie a levante). Infatti a m. 0,50 comincia uno strato nerastro-bruno in grandissima parte dovuto a materiale legnoso in decomposizione, e questo strato grosso circa 0,50 sul pendio del dosso va ingrossando a mano amano che il terreno si abbassa e va verso levante.</w:t>
            </w:r>
            <w:r w:rsidRPr="003F1FA4">
              <w:rPr>
                <w:rFonts w:ascii="Titillium Web" w:hAnsi="Titillium Web"/>
                <w:i/>
                <w:iCs/>
                <w:szCs w:val="24"/>
              </w:rPr>
              <w:br/>
            </w:r>
            <w:r w:rsidRPr="003F1FA4">
              <w:rPr>
                <w:rFonts w:ascii="Titillium Web" w:hAnsi="Titillium Web"/>
                <w:i/>
                <w:iCs/>
                <w:szCs w:val="24"/>
              </w:rPr>
              <w:t>Appunto in questo strato legnoso si sono rinvenuti gli avanzi di un vaso di forma sferica, di terra rossa locale, con ansa verticale, presso la bocca.</w:t>
            </w:r>
            <w:r w:rsidRPr="003F1FA4">
              <w:rPr>
                <w:rFonts w:ascii="Titillium Web" w:hAnsi="Titillium Web"/>
                <w:i/>
                <w:iCs/>
                <w:szCs w:val="24"/>
              </w:rPr>
              <w:br/>
            </w:r>
            <w:r w:rsidRPr="003F1FA4">
              <w:rPr>
                <w:rFonts w:ascii="Titillium Web" w:hAnsi="Titillium Web"/>
                <w:i/>
                <w:iCs/>
                <w:szCs w:val="24"/>
              </w:rPr>
              <w:t>Era rovesciato e conteneva in parte entro e in parte fuori attorno ad esso delle ossa combuste e altri frammenti di vasi in cotto che non sono certo di giudicarli materiali di tombe estrusche -</w:t>
            </w:r>
            <w:r w:rsidRPr="003F1FA4">
              <w:rPr>
                <w:rFonts w:ascii="Titillium Web" w:hAnsi="Titillium Web"/>
                <w:i/>
                <w:iCs/>
                <w:szCs w:val="24"/>
              </w:rPr>
              <w:br/>
            </w:r>
            <w:r w:rsidRPr="003F1FA4">
              <w:rPr>
                <w:rFonts w:ascii="Titillium Web" w:hAnsi="Titillium Web"/>
                <w:i/>
                <w:iCs/>
                <w:szCs w:val="24"/>
              </w:rPr>
              <w:t>Comunque ho raccolto i cocci che possono servire per lo studio dei materiali.</w:t>
            </w:r>
            <w:r w:rsidRPr="003F1FA4">
              <w:rPr>
                <w:rFonts w:ascii="Titillium Web" w:hAnsi="Titillium Web"/>
                <w:i/>
                <w:iCs/>
                <w:szCs w:val="24"/>
              </w:rPr>
              <w:br/>
            </w:r>
            <w:r w:rsidRPr="003F1FA4">
              <w:rPr>
                <w:rFonts w:ascii="Titillium Web" w:hAnsi="Titillium Web"/>
                <w:i/>
                <w:iCs/>
                <w:szCs w:val="24"/>
              </w:rPr>
              <w:t>Io suppongo che la tomba sia stata saccheggiata e che poi i cocci o siano rotolati o stati buttati giù dal pendio del dosso, dentro l’acqua della fossa a levante –</w:t>
            </w:r>
          </w:p>
        </w:tc>
      </w:tr>
      <w:tr w:rsidRPr="003F1FA4" w:rsidR="001B5504" w:rsidTr="2CDE2F47" w14:paraId="4CA65959" w14:textId="77777777">
        <w:trPr>
          <w:jc w:val="center"/>
        </w:trPr>
        <w:tc>
          <w:tcPr>
            <w:tcW w:w="1650" w:type="pct"/>
            <w:tcMar/>
            <w:vAlign w:val="center"/>
          </w:tcPr>
          <w:p w:rsidRPr="003F1FA4" w:rsidR="001B5504" w:rsidP="00BF212E" w:rsidRDefault="001B5504" w14:paraId="42C0306C" w14:textId="77777777">
            <w:pPr>
              <w:jc w:val="center"/>
              <w:rPr>
                <w:rFonts w:ascii="Titillium Web" w:hAnsi="Titillium Web"/>
                <w:smallCaps/>
                <w:szCs w:val="24"/>
              </w:rPr>
            </w:pPr>
            <w:r w:rsidRPr="003F1FA4">
              <w:rPr>
                <w:rFonts w:ascii="Titillium Web" w:hAnsi="Titillium Web"/>
                <w:smallCaps/>
                <w:szCs w:val="24"/>
              </w:rPr>
              <w:t>Corredo</w:t>
            </w:r>
          </w:p>
        </w:tc>
        <w:tc>
          <w:tcPr>
            <w:tcW w:w="3350" w:type="pct"/>
            <w:tcMar/>
            <w:vAlign w:val="center"/>
          </w:tcPr>
          <w:p w:rsidRPr="003F1FA4" w:rsidR="0069658C" w:rsidP="003F1FA4" w:rsidRDefault="0069658C" w14:paraId="75F81394" w14:textId="34728FC1">
            <w:pPr>
              <w:jc w:val="center"/>
              <w:rPr>
                <w:rFonts w:ascii="Titillium Web" w:hAnsi="Titillium Web" w:cs="Times New Roman"/>
                <w:szCs w:val="24"/>
              </w:rPr>
            </w:pPr>
            <w:r w:rsidRPr="003F1FA4">
              <w:rPr>
                <w:rFonts w:ascii="Titillium Web" w:hAnsi="Titillium Web" w:cs="Times New Roman"/>
                <w:szCs w:val="24"/>
              </w:rPr>
              <w:t>Al momento dello scavo furono rilevate tracce di un precedente saccheggio o di una manomissione, che sembra aver spostato la sepoltura rispetto alla posizione originaria. Della sepoltura si conserva il solo cinerario (n. 1), registrato in IG con due numeri differenti poiché conservato in due frr. non ricomponibili. Tuttavia, per impasto e dimensioni, i due frr. sono riconducibili allo stesso vaso.</w:t>
            </w:r>
          </w:p>
          <w:p w:rsidRPr="003F1FA4" w:rsidR="001B5504" w:rsidP="003F1FA4" w:rsidRDefault="003F1FA4" w14:paraId="5EE32F9C" w14:textId="2770FBA4">
            <w:pPr>
              <w:jc w:val="center"/>
              <w:rPr>
                <w:rFonts w:ascii="Titillium Web" w:hAnsi="Titillium Web"/>
                <w:szCs w:val="24"/>
              </w:rPr>
            </w:pPr>
            <w:r w:rsidRPr="003F1FA4">
              <w:rPr>
                <w:rFonts w:ascii="Titillium Web" w:hAnsi="Titillium Web"/>
                <w:szCs w:val="24"/>
              </w:rPr>
              <w:t>1. Olla biansata di produzione locale (IG 16017-16018; ceramica depurata)</w:t>
            </w:r>
          </w:p>
        </w:tc>
      </w:tr>
      <w:tr w:rsidRPr="003F1FA4" w:rsidR="001B5504" w:rsidTr="2CDE2F47" w14:paraId="520D9732" w14:textId="77777777">
        <w:trPr>
          <w:jc w:val="center"/>
        </w:trPr>
        <w:tc>
          <w:tcPr>
            <w:tcW w:w="1650" w:type="pct"/>
            <w:tcMar/>
            <w:vAlign w:val="center"/>
          </w:tcPr>
          <w:p w:rsidRPr="003F1FA4" w:rsidR="001B5504" w:rsidP="00BF212E" w:rsidRDefault="001B5504" w14:paraId="24BE97D5" w14:textId="77777777">
            <w:pPr>
              <w:jc w:val="center"/>
              <w:rPr>
                <w:rFonts w:ascii="Titillium Web" w:hAnsi="Titillium Web"/>
                <w:smallCaps/>
                <w:szCs w:val="24"/>
              </w:rPr>
            </w:pPr>
            <w:r w:rsidRPr="003F1FA4">
              <w:rPr>
                <w:rFonts w:ascii="Titillium Web" w:hAnsi="Titillium Web"/>
                <w:smallCaps/>
                <w:szCs w:val="24"/>
              </w:rPr>
              <w:t>Posizione del corredo</w:t>
            </w:r>
          </w:p>
        </w:tc>
        <w:tc>
          <w:tcPr>
            <w:tcW w:w="3350" w:type="pct"/>
            <w:tcMar/>
            <w:vAlign w:val="center"/>
          </w:tcPr>
          <w:p w:rsidRPr="003F1FA4" w:rsidR="001B5504" w:rsidP="00BF212E" w:rsidRDefault="003F1FA4" w14:paraId="3ED37A74" w14:textId="2A01BC67">
            <w:pPr>
              <w:jc w:val="center"/>
              <w:rPr>
                <w:rFonts w:ascii="Titillium Web" w:hAnsi="Titillium Web"/>
                <w:szCs w:val="24"/>
              </w:rPr>
            </w:pPr>
            <w:r w:rsidRPr="003F1FA4">
              <w:rPr>
                <w:rFonts w:ascii="Titillium Web" w:hAnsi="Titillium Web"/>
                <w:szCs w:val="24"/>
              </w:rPr>
              <w:t>/</w:t>
            </w:r>
          </w:p>
        </w:tc>
      </w:tr>
      <w:tr w:rsidRPr="003F1FA4" w:rsidR="001B5504" w:rsidTr="2CDE2F47" w14:paraId="05ACB002" w14:textId="77777777">
        <w:trPr>
          <w:jc w:val="center"/>
        </w:trPr>
        <w:tc>
          <w:tcPr>
            <w:tcW w:w="1650" w:type="pct"/>
            <w:tcMar/>
            <w:vAlign w:val="center"/>
          </w:tcPr>
          <w:p w:rsidRPr="003F1FA4" w:rsidR="001B5504" w:rsidP="00BF212E" w:rsidRDefault="001B5504" w14:paraId="6E6E37F2" w14:textId="77777777">
            <w:pPr>
              <w:jc w:val="center"/>
              <w:rPr>
                <w:rFonts w:ascii="Titillium Web" w:hAnsi="Titillium Web"/>
                <w:smallCaps/>
                <w:szCs w:val="24"/>
              </w:rPr>
            </w:pPr>
            <w:r w:rsidRPr="003F1FA4">
              <w:rPr>
                <w:rFonts w:ascii="Titillium Web" w:hAnsi="Titillium Web"/>
                <w:smallCaps/>
                <w:szCs w:val="24"/>
              </w:rPr>
              <w:t>Stato di conservazione e affidabilità del corredo</w:t>
            </w:r>
          </w:p>
        </w:tc>
        <w:tc>
          <w:tcPr>
            <w:tcW w:w="3350" w:type="pct"/>
            <w:tcMar/>
            <w:vAlign w:val="center"/>
          </w:tcPr>
          <w:p w:rsidRPr="003F1FA4" w:rsidR="001B5504" w:rsidP="2CDE2F47" w:rsidRDefault="00B34E66" w14:paraId="66E8A271" w14:textId="2412EF80">
            <w:pPr>
              <w:spacing/>
              <w:contextualSpacing w:val="1"/>
              <w:jc w:val="center"/>
              <w:rPr>
                <w:rFonts w:ascii="Titillium Web" w:hAnsi="Titillium Web" w:cs="Times New Roman"/>
              </w:rPr>
            </w:pPr>
            <w:r w:rsidRPr="2CDE2F47" w:rsidR="1A47BB33">
              <w:rPr>
                <w:rFonts w:ascii="Titillium Web" w:hAnsi="Titillium Web" w:cs="Times New Roman"/>
              </w:rPr>
              <w:t>Al corredo sono stati attribuiti erroneamente un’oinochoe attica a v.n.</w:t>
            </w:r>
            <w:r w:rsidRPr="2CDE2F47" w:rsidR="1A47BB33">
              <w:rPr>
                <w:rFonts w:ascii="Titillium Web" w:hAnsi="Titillium Web" w:cs="Times New Roman"/>
              </w:rPr>
              <w:t xml:space="preserve"> </w:t>
            </w:r>
            <w:r w:rsidRPr="2CDE2F47" w:rsidR="1A47BB33">
              <w:rPr>
                <w:rFonts w:ascii="Titillium Web" w:hAnsi="Titillium Web" w:cs="Times New Roman"/>
              </w:rPr>
              <w:t xml:space="preserve">e tre </w:t>
            </w:r>
            <w:r w:rsidRPr="2CDE2F47" w:rsidR="6B5297A4">
              <w:rPr>
                <w:rFonts w:ascii="Titillium Web" w:hAnsi="Titillium Web" w:cs="Times New Roman"/>
              </w:rPr>
              <w:t>di produzione locale</w:t>
            </w:r>
            <w:r w:rsidRPr="2CDE2F47" w:rsidR="1A47BB33">
              <w:rPr>
                <w:rFonts w:ascii="Titillium Web" w:hAnsi="Titillium Web" w:cs="Times New Roman"/>
              </w:rPr>
              <w:t>: un’olla in ceramica grigia e due piatti in ceramica depurata. D. Baldoni aveva indicato erroneamente l’olla in ceramica grigia come cinerario della sepoltura, anziché l’esemplare con ansa in ceramica depurata, come indicato dal Proni nel GdS.</w:t>
            </w:r>
          </w:p>
        </w:tc>
      </w:tr>
      <w:tr w:rsidRPr="003F1FA4" w:rsidR="001B5504" w:rsidTr="2CDE2F47" w14:paraId="6E424069" w14:textId="77777777">
        <w:trPr>
          <w:jc w:val="center"/>
        </w:trPr>
        <w:tc>
          <w:tcPr>
            <w:tcW w:w="1650" w:type="pct"/>
            <w:tcMar/>
            <w:vAlign w:val="center"/>
          </w:tcPr>
          <w:p w:rsidRPr="003F1FA4" w:rsidR="001B5504" w:rsidP="00BF212E" w:rsidRDefault="001B5504" w14:paraId="4CE8DFDE" w14:textId="77777777">
            <w:pPr>
              <w:jc w:val="center"/>
              <w:rPr>
                <w:rFonts w:ascii="Titillium Web" w:hAnsi="Titillium Web"/>
                <w:smallCaps/>
                <w:szCs w:val="24"/>
              </w:rPr>
            </w:pPr>
            <w:r w:rsidRPr="003F1FA4">
              <w:rPr>
                <w:rFonts w:ascii="Titillium Web" w:hAnsi="Titillium Web"/>
                <w:smallCaps/>
                <w:szCs w:val="24"/>
              </w:rPr>
              <w:t>Genere (legato all’analisi del corredo)</w:t>
            </w:r>
          </w:p>
        </w:tc>
        <w:tc>
          <w:tcPr>
            <w:tcW w:w="3350" w:type="pct"/>
            <w:tcMar/>
            <w:vAlign w:val="center"/>
          </w:tcPr>
          <w:p w:rsidRPr="003F1FA4" w:rsidR="001B5504" w:rsidP="00BF212E" w:rsidRDefault="001B5504" w14:paraId="04E55D8B" w14:textId="15D5D226">
            <w:pPr>
              <w:jc w:val="center"/>
              <w:rPr>
                <w:rFonts w:ascii="Titillium Web" w:hAnsi="Titillium Web"/>
                <w:szCs w:val="24"/>
              </w:rPr>
            </w:pPr>
            <w:r w:rsidRPr="003F1FA4">
              <w:rPr>
                <w:rFonts w:ascii="Titillium Web" w:hAnsi="Titillium Web"/>
                <w:szCs w:val="24"/>
              </w:rPr>
              <w:t>Non determinabile</w:t>
            </w:r>
          </w:p>
        </w:tc>
      </w:tr>
      <w:tr w:rsidRPr="003F1FA4" w:rsidR="001B5504" w:rsidTr="2CDE2F47" w14:paraId="7C1BF645" w14:textId="77777777">
        <w:trPr>
          <w:jc w:val="center"/>
        </w:trPr>
        <w:tc>
          <w:tcPr>
            <w:tcW w:w="1650" w:type="pct"/>
            <w:tcMar/>
            <w:vAlign w:val="center"/>
          </w:tcPr>
          <w:p w:rsidRPr="003F1FA4" w:rsidR="001B5504" w:rsidP="00BF212E" w:rsidRDefault="001B5504" w14:paraId="7EADEEB5" w14:textId="77777777">
            <w:pPr>
              <w:jc w:val="center"/>
              <w:rPr>
                <w:rFonts w:ascii="Titillium Web" w:hAnsi="Titillium Web"/>
                <w:smallCaps/>
                <w:szCs w:val="24"/>
              </w:rPr>
            </w:pPr>
            <w:r w:rsidRPr="003F1FA4">
              <w:rPr>
                <w:rFonts w:ascii="Titillium Web" w:hAnsi="Titillium Web"/>
                <w:smallCaps/>
                <w:szCs w:val="24"/>
              </w:rPr>
              <w:t>Sesso (legato alle analisi antropologiche)</w:t>
            </w:r>
          </w:p>
        </w:tc>
        <w:tc>
          <w:tcPr>
            <w:tcW w:w="3350" w:type="pct"/>
            <w:tcMar/>
            <w:vAlign w:val="center"/>
          </w:tcPr>
          <w:p w:rsidRPr="003F1FA4" w:rsidR="001B5504" w:rsidP="00BF212E" w:rsidRDefault="001B5504" w14:paraId="5D17FB99" w14:textId="46EBB367">
            <w:pPr>
              <w:jc w:val="center"/>
              <w:rPr>
                <w:rFonts w:ascii="Titillium Web" w:hAnsi="Titillium Web"/>
                <w:szCs w:val="24"/>
              </w:rPr>
            </w:pPr>
            <w:r w:rsidRPr="003F1FA4">
              <w:rPr>
                <w:rFonts w:ascii="Titillium Web" w:hAnsi="Titillium Web"/>
                <w:szCs w:val="24"/>
              </w:rPr>
              <w:t>Non determinabile</w:t>
            </w:r>
          </w:p>
        </w:tc>
      </w:tr>
      <w:tr w:rsidRPr="003F1FA4" w:rsidR="001B5504" w:rsidTr="2CDE2F47" w14:paraId="498C4222" w14:textId="77777777">
        <w:trPr>
          <w:jc w:val="center"/>
        </w:trPr>
        <w:tc>
          <w:tcPr>
            <w:tcW w:w="1650" w:type="pct"/>
            <w:tcMar/>
            <w:vAlign w:val="center"/>
          </w:tcPr>
          <w:p w:rsidRPr="003F1FA4" w:rsidR="001B5504" w:rsidP="00BF212E" w:rsidRDefault="001B5504" w14:paraId="57C39F2A" w14:textId="77777777">
            <w:pPr>
              <w:jc w:val="center"/>
              <w:rPr>
                <w:rFonts w:ascii="Titillium Web" w:hAnsi="Titillium Web"/>
                <w:smallCaps/>
                <w:szCs w:val="24"/>
              </w:rPr>
            </w:pPr>
            <w:r w:rsidRPr="003F1FA4">
              <w:rPr>
                <w:rFonts w:ascii="Titillium Web" w:hAnsi="Titillium Web"/>
                <w:smallCaps/>
                <w:szCs w:val="24"/>
              </w:rPr>
              <w:t>Classi di età</w:t>
            </w:r>
          </w:p>
        </w:tc>
        <w:tc>
          <w:tcPr>
            <w:tcW w:w="3350" w:type="pct"/>
            <w:tcMar/>
            <w:vAlign w:val="center"/>
          </w:tcPr>
          <w:p w:rsidRPr="003F1FA4" w:rsidR="001B5504" w:rsidP="00BF212E" w:rsidRDefault="001B5504" w14:paraId="3FA8CB4E" w14:textId="5B4E47B7">
            <w:pPr>
              <w:jc w:val="center"/>
              <w:rPr>
                <w:rFonts w:ascii="Titillium Web" w:hAnsi="Titillium Web"/>
                <w:szCs w:val="24"/>
              </w:rPr>
            </w:pPr>
            <w:r w:rsidRPr="003F1FA4">
              <w:rPr>
                <w:rFonts w:ascii="Titillium Web" w:hAnsi="Titillium Web"/>
                <w:szCs w:val="24"/>
              </w:rPr>
              <w:t>Non determinabile</w:t>
            </w:r>
          </w:p>
        </w:tc>
      </w:tr>
      <w:tr w:rsidRPr="003F1FA4" w:rsidR="001B5504" w:rsidTr="2CDE2F47" w14:paraId="698056B7" w14:textId="77777777">
        <w:trPr>
          <w:jc w:val="center"/>
        </w:trPr>
        <w:tc>
          <w:tcPr>
            <w:tcW w:w="1650" w:type="pct"/>
            <w:tcMar/>
            <w:vAlign w:val="center"/>
          </w:tcPr>
          <w:p w:rsidRPr="003F1FA4" w:rsidR="001B5504" w:rsidP="00BF212E" w:rsidRDefault="001B5504" w14:paraId="225E12C1" w14:textId="77777777">
            <w:pPr>
              <w:jc w:val="center"/>
              <w:rPr>
                <w:rFonts w:ascii="Titillium Web" w:hAnsi="Titillium Web"/>
                <w:smallCaps/>
                <w:szCs w:val="24"/>
              </w:rPr>
            </w:pPr>
            <w:r w:rsidRPr="003F1FA4">
              <w:rPr>
                <w:rFonts w:ascii="Titillium Web" w:hAnsi="Titillium Web"/>
                <w:smallCaps/>
                <w:szCs w:val="24"/>
              </w:rPr>
              <w:t>Cronologia</w:t>
            </w:r>
          </w:p>
        </w:tc>
        <w:tc>
          <w:tcPr>
            <w:tcW w:w="3350" w:type="pct"/>
            <w:tcMar/>
            <w:vAlign w:val="center"/>
          </w:tcPr>
          <w:p w:rsidRPr="003F1FA4" w:rsidR="001B5504" w:rsidP="00BF212E" w:rsidRDefault="001B5504" w14:paraId="440AB2F6" w14:textId="65221464">
            <w:pPr>
              <w:jc w:val="center"/>
              <w:rPr>
                <w:rFonts w:ascii="Titillium Web" w:hAnsi="Titillium Web"/>
                <w:szCs w:val="24"/>
              </w:rPr>
            </w:pPr>
            <w:r w:rsidRPr="003F1FA4">
              <w:rPr>
                <w:rFonts w:ascii="Titillium Web" w:hAnsi="Titillium Web"/>
                <w:szCs w:val="24"/>
              </w:rPr>
              <w:t>Non determinabile</w:t>
            </w:r>
          </w:p>
        </w:tc>
      </w:tr>
      <w:tr w:rsidRPr="003F1FA4" w:rsidR="001B5504" w:rsidTr="2CDE2F47" w14:paraId="3105DEE4" w14:textId="77777777">
        <w:trPr>
          <w:jc w:val="center"/>
        </w:trPr>
        <w:tc>
          <w:tcPr>
            <w:tcW w:w="1650" w:type="pct"/>
            <w:tcMar/>
            <w:vAlign w:val="center"/>
          </w:tcPr>
          <w:p w:rsidRPr="003F1FA4" w:rsidR="001B5504" w:rsidP="00BF212E" w:rsidRDefault="001B5504" w14:paraId="2DF8B210" w14:textId="77777777">
            <w:pPr>
              <w:jc w:val="center"/>
              <w:rPr>
                <w:rFonts w:ascii="Titillium Web" w:hAnsi="Titillium Web"/>
                <w:smallCaps/>
                <w:szCs w:val="24"/>
              </w:rPr>
            </w:pPr>
            <w:r w:rsidRPr="003F1FA4">
              <w:rPr>
                <w:rFonts w:ascii="Titillium Web" w:hAnsi="Titillium Web"/>
                <w:smallCaps/>
                <w:szCs w:val="24"/>
              </w:rPr>
              <w:t>Bibliografia (della tomba)</w:t>
            </w:r>
          </w:p>
        </w:tc>
        <w:tc>
          <w:tcPr>
            <w:tcW w:w="3350" w:type="pct"/>
            <w:tcMar/>
            <w:vAlign w:val="center"/>
          </w:tcPr>
          <w:p w:rsidRPr="003F1FA4" w:rsidR="001B5504" w:rsidP="00BF212E" w:rsidRDefault="001B5504" w14:paraId="38D3D101" w14:textId="67752328">
            <w:pPr>
              <w:jc w:val="center"/>
              <w:rPr>
                <w:rFonts w:ascii="Titillium Web" w:hAnsi="Titillium Web"/>
                <w:szCs w:val="24"/>
              </w:rPr>
            </w:pPr>
            <w:r w:rsidRPr="003F1FA4">
              <w:rPr>
                <w:rFonts w:ascii="Titillium Web" w:hAnsi="Titillium Web"/>
                <w:smallCaps/>
                <w:szCs w:val="24"/>
              </w:rPr>
              <w:t>Baldoni</w:t>
            </w:r>
            <w:r w:rsidRPr="003F1FA4">
              <w:rPr>
                <w:rFonts w:ascii="Titillium Web" w:hAnsi="Titillium Web"/>
                <w:szCs w:val="24"/>
              </w:rPr>
              <w:t xml:space="preserve"> 1981, pp. 38-40, 175-176.</w:t>
            </w:r>
          </w:p>
        </w:tc>
      </w:tr>
      <w:tr w:rsidRPr="003F1FA4" w:rsidR="001B5504" w:rsidTr="2CDE2F47" w14:paraId="6887A6E3" w14:textId="77777777">
        <w:trPr>
          <w:jc w:val="center"/>
        </w:trPr>
        <w:tc>
          <w:tcPr>
            <w:tcW w:w="1650" w:type="pct"/>
            <w:tcMar/>
            <w:vAlign w:val="center"/>
          </w:tcPr>
          <w:p w:rsidRPr="003F1FA4" w:rsidR="001B5504" w:rsidP="00BF212E" w:rsidRDefault="001B5504" w14:paraId="4944AE43" w14:textId="77777777">
            <w:pPr>
              <w:jc w:val="center"/>
              <w:rPr>
                <w:rFonts w:ascii="Titillium Web" w:hAnsi="Titillium Web"/>
                <w:smallCaps/>
                <w:szCs w:val="24"/>
              </w:rPr>
            </w:pPr>
            <w:r w:rsidRPr="003F1FA4">
              <w:rPr>
                <w:rFonts w:ascii="Titillium Web" w:hAnsi="Titillium Web"/>
                <w:smallCaps/>
                <w:szCs w:val="24"/>
              </w:rPr>
              <w:t>Link alla pubblicazione</w:t>
            </w:r>
          </w:p>
        </w:tc>
        <w:tc>
          <w:tcPr>
            <w:tcW w:w="3350" w:type="pct"/>
            <w:tcMar/>
            <w:vAlign w:val="center"/>
          </w:tcPr>
          <w:p w:rsidRPr="003F1FA4" w:rsidR="001B5504" w:rsidP="00BF212E" w:rsidRDefault="001B5504" w14:paraId="6ADE2D95" w14:textId="5EBDA977">
            <w:pPr>
              <w:jc w:val="center"/>
              <w:rPr>
                <w:rFonts w:ascii="Titillium Web" w:hAnsi="Titillium Web"/>
                <w:szCs w:val="24"/>
              </w:rPr>
            </w:pPr>
          </w:p>
        </w:tc>
      </w:tr>
    </w:tbl>
    <w:p w:rsidRPr="00C30F5C" w:rsidR="001B5504" w:rsidP="001B5504" w:rsidRDefault="001B5504" w14:paraId="4DC97993" w14:textId="77777777">
      <w:pPr>
        <w:jc w:val="center"/>
        <w:rPr>
          <w:rFonts w:ascii="Titillium Web" w:hAnsi="Titillium Web"/>
          <w:b/>
          <w:bCs/>
          <w:sz w:val="28"/>
          <w:szCs w:val="24"/>
        </w:rPr>
      </w:pPr>
    </w:p>
    <w:sectPr w:rsidRPr="00C30F5C" w:rsidR="001B5504" w:rsidSect="005B5AFF">
      <w:pgSz w:w="11906" w:h="16838" w:orient="portrait"/>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Titillium Web">
    <w:panose1 w:val="00000500000000000000"/>
    <w:charset w:val="00"/>
    <w:family w:val="auto"/>
    <w:pitch w:val="variable"/>
    <w:sig w:usb0="00000007" w:usb1="00000001"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E35997"/>
    <w:multiLevelType w:val="hybridMultilevel"/>
    <w:tmpl w:val="C2DE6EE8"/>
    <w:lvl w:ilvl="0" w:tplc="FD9E36EE">
      <w:start w:val="13"/>
      <w:numFmt w:val="bullet"/>
      <w:lvlText w:val=""/>
      <w:lvlJc w:val="left"/>
      <w:pPr>
        <w:ind w:left="720" w:hanging="360"/>
      </w:pPr>
      <w:rPr>
        <w:rFonts w:hint="default" w:ascii="Symbol" w:hAnsi="Symbol" w:eastAsiaTheme="minorHAnsi" w:cstheme="minorBidi"/>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1" w15:restartNumberingAfterBreak="0">
    <w:nsid w:val="47195BB3"/>
    <w:multiLevelType w:val="hybridMultilevel"/>
    <w:tmpl w:val="6C4E81AC"/>
    <w:lvl w:ilvl="0" w:tplc="04100001">
      <w:start w:val="1"/>
      <w:numFmt w:val="bullet"/>
      <w:lvlText w:val=""/>
      <w:lvlJc w:val="left"/>
      <w:pPr>
        <w:ind w:left="720" w:hanging="360"/>
      </w:pPr>
      <w:rPr>
        <w:rFonts w:hint="default" w:ascii="Symbol" w:hAnsi="Symbol"/>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num w:numId="1" w16cid:durableId="843980534">
    <w:abstractNumId w:val="0"/>
  </w:num>
  <w:num w:numId="2" w16cid:durableId="1139692260">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08"/>
  <w:hyphenationZone w:val="283"/>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B2D"/>
    <w:rsid w:val="00014214"/>
    <w:rsid w:val="000D72F4"/>
    <w:rsid w:val="001230C8"/>
    <w:rsid w:val="001B5504"/>
    <w:rsid w:val="001F2833"/>
    <w:rsid w:val="0029024B"/>
    <w:rsid w:val="002977D7"/>
    <w:rsid w:val="002F1500"/>
    <w:rsid w:val="003569D9"/>
    <w:rsid w:val="003F1FA4"/>
    <w:rsid w:val="00456C4F"/>
    <w:rsid w:val="00472AF4"/>
    <w:rsid w:val="005B5AFF"/>
    <w:rsid w:val="0068458A"/>
    <w:rsid w:val="0069658C"/>
    <w:rsid w:val="00710B38"/>
    <w:rsid w:val="007145BC"/>
    <w:rsid w:val="007D54CD"/>
    <w:rsid w:val="00942E70"/>
    <w:rsid w:val="00943EAC"/>
    <w:rsid w:val="00950348"/>
    <w:rsid w:val="00975CA9"/>
    <w:rsid w:val="00997946"/>
    <w:rsid w:val="009E4922"/>
    <w:rsid w:val="00A52A70"/>
    <w:rsid w:val="00B165C4"/>
    <w:rsid w:val="00B34E66"/>
    <w:rsid w:val="00B86B2D"/>
    <w:rsid w:val="00BE2CB2"/>
    <w:rsid w:val="00BE63CC"/>
    <w:rsid w:val="00BF212E"/>
    <w:rsid w:val="00C21EE0"/>
    <w:rsid w:val="00C30F5C"/>
    <w:rsid w:val="00CC46E5"/>
    <w:rsid w:val="00D54723"/>
    <w:rsid w:val="00D63ABE"/>
    <w:rsid w:val="00DB1668"/>
    <w:rsid w:val="00E0524C"/>
    <w:rsid w:val="1A47BB33"/>
    <w:rsid w:val="2CDE2F47"/>
    <w:rsid w:val="6B5297A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566EA0"/>
  <w15:chartTrackingRefBased/>
  <w15:docId w15:val="{475B289C-F9A1-4717-B3D6-E982B8FC7C1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heme="minorHAnsi" w:cstheme="minorBidi"/>
        <w:kern w:val="2"/>
        <w:sz w:val="24"/>
        <w:szCs w:val="22"/>
        <w:lang w:val="it-IT" w:eastAsia="en-US" w:bidi="ar-SA"/>
        <w14:ligatures w14:val="standardContextual"/>
      </w:rPr>
    </w:rPrDefault>
    <w:pPrDefault>
      <w:pPr>
        <w:spacing w:after="1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e" w:default="1">
    <w:name w:val="Normal"/>
    <w:qFormat/>
    <w:rsid w:val="00014214"/>
  </w:style>
  <w:style w:type="paragraph" w:styleId="Titolo1">
    <w:name w:val="heading 1"/>
    <w:basedOn w:val="Normale"/>
    <w:next w:val="Normale"/>
    <w:link w:val="Titolo1Carattere"/>
    <w:uiPriority w:val="9"/>
    <w:qFormat/>
    <w:rsid w:val="00B86B2D"/>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B86B2D"/>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B86B2D"/>
    <w:pPr>
      <w:keepNext/>
      <w:keepLines/>
      <w:spacing w:before="160" w:after="80"/>
      <w:outlineLvl w:val="2"/>
    </w:pPr>
    <w:rPr>
      <w:rFonts w:asciiTheme="minorHAnsi" w:hAnsiTheme="minorHAnsi"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B86B2D"/>
    <w:pPr>
      <w:keepNext/>
      <w:keepLines/>
      <w:spacing w:before="80" w:after="40"/>
      <w:outlineLvl w:val="3"/>
    </w:pPr>
    <w:rPr>
      <w:rFonts w:asciiTheme="minorHAnsi" w:hAnsiTheme="minorHAnsi"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B86B2D"/>
    <w:pPr>
      <w:keepNext/>
      <w:keepLines/>
      <w:spacing w:before="80" w:after="40"/>
      <w:outlineLvl w:val="4"/>
    </w:pPr>
    <w:rPr>
      <w:rFonts w:asciiTheme="minorHAnsi" w:hAnsiTheme="minorHAnsi"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B86B2D"/>
    <w:pPr>
      <w:keepNext/>
      <w:keepLines/>
      <w:spacing w:before="40" w:after="0"/>
      <w:outlineLvl w:val="5"/>
    </w:pPr>
    <w:rPr>
      <w:rFonts w:asciiTheme="minorHAnsi" w:hAnsiTheme="minorHAnsi"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B86B2D"/>
    <w:pPr>
      <w:keepNext/>
      <w:keepLines/>
      <w:spacing w:before="40" w:after="0"/>
      <w:outlineLvl w:val="6"/>
    </w:pPr>
    <w:rPr>
      <w:rFonts w:asciiTheme="minorHAnsi" w:hAnsiTheme="minorHAnsi"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B86B2D"/>
    <w:pPr>
      <w:keepNext/>
      <w:keepLines/>
      <w:spacing w:after="0"/>
      <w:outlineLvl w:val="7"/>
    </w:pPr>
    <w:rPr>
      <w:rFonts w:asciiTheme="minorHAnsi" w:hAnsiTheme="minorHAnsi"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B86B2D"/>
    <w:pPr>
      <w:keepNext/>
      <w:keepLines/>
      <w:spacing w:after="0"/>
      <w:outlineLvl w:val="8"/>
    </w:pPr>
    <w:rPr>
      <w:rFonts w:asciiTheme="minorHAnsi" w:hAnsiTheme="minorHAnsi" w:eastAsiaTheme="majorEastAsia" w:cstheme="majorBidi"/>
      <w:color w:val="272727" w:themeColor="text1" w:themeTint="D8"/>
    </w:rPr>
  </w:style>
  <w:style w:type="character" w:styleId="Carpredefinitoparagrafo" w:default="1">
    <w:name w:val="Default Paragraph Font"/>
    <w:uiPriority w:val="1"/>
    <w:semiHidden/>
    <w:unhideWhenUsed/>
  </w:style>
  <w:style w:type="table" w:styleId="Tabellanormale" w:default="1">
    <w:name w:val="Normal Table"/>
    <w:uiPriority w:val="99"/>
    <w:semiHidden/>
    <w:unhideWhenUsed/>
    <w:tblPr>
      <w:tblInd w:w="0" w:type="dxa"/>
      <w:tblCellMar>
        <w:top w:w="0" w:type="dxa"/>
        <w:left w:w="108" w:type="dxa"/>
        <w:bottom w:w="0" w:type="dxa"/>
        <w:right w:w="108" w:type="dxa"/>
      </w:tblCellMar>
    </w:tblPr>
  </w:style>
  <w:style w:type="numbering" w:styleId="Nessunelenco" w:default="1">
    <w:name w:val="No List"/>
    <w:uiPriority w:val="99"/>
    <w:semiHidden/>
    <w:unhideWhenUsed/>
  </w:style>
  <w:style w:type="character" w:styleId="Titolo1Carattere" w:customStyle="1">
    <w:name w:val="Titolo 1 Carattere"/>
    <w:basedOn w:val="Carpredefinitoparagrafo"/>
    <w:link w:val="Titolo1"/>
    <w:uiPriority w:val="9"/>
    <w:rsid w:val="00B86B2D"/>
    <w:rPr>
      <w:rFonts w:asciiTheme="majorHAnsi" w:hAnsiTheme="majorHAnsi" w:eastAsiaTheme="majorEastAsia" w:cstheme="majorBidi"/>
      <w:color w:val="0F4761" w:themeColor="accent1" w:themeShade="BF"/>
      <w:sz w:val="40"/>
      <w:szCs w:val="40"/>
    </w:rPr>
  </w:style>
  <w:style w:type="character" w:styleId="Titolo2Carattere" w:customStyle="1">
    <w:name w:val="Titolo 2 Carattere"/>
    <w:basedOn w:val="Carpredefinitoparagrafo"/>
    <w:link w:val="Titolo2"/>
    <w:uiPriority w:val="9"/>
    <w:semiHidden/>
    <w:rsid w:val="00B86B2D"/>
    <w:rPr>
      <w:rFonts w:asciiTheme="majorHAnsi" w:hAnsiTheme="majorHAnsi" w:eastAsiaTheme="majorEastAsia" w:cstheme="majorBidi"/>
      <w:color w:val="0F4761" w:themeColor="accent1" w:themeShade="BF"/>
      <w:sz w:val="32"/>
      <w:szCs w:val="32"/>
    </w:rPr>
  </w:style>
  <w:style w:type="character" w:styleId="Titolo3Carattere" w:customStyle="1">
    <w:name w:val="Titolo 3 Carattere"/>
    <w:basedOn w:val="Carpredefinitoparagrafo"/>
    <w:link w:val="Titolo3"/>
    <w:uiPriority w:val="9"/>
    <w:semiHidden/>
    <w:rsid w:val="00B86B2D"/>
    <w:rPr>
      <w:rFonts w:asciiTheme="minorHAnsi" w:hAnsiTheme="minorHAnsi" w:eastAsiaTheme="majorEastAsia" w:cstheme="majorBidi"/>
      <w:color w:val="0F4761" w:themeColor="accent1" w:themeShade="BF"/>
      <w:sz w:val="28"/>
      <w:szCs w:val="28"/>
    </w:rPr>
  </w:style>
  <w:style w:type="character" w:styleId="Titolo4Carattere" w:customStyle="1">
    <w:name w:val="Titolo 4 Carattere"/>
    <w:basedOn w:val="Carpredefinitoparagrafo"/>
    <w:link w:val="Titolo4"/>
    <w:uiPriority w:val="9"/>
    <w:semiHidden/>
    <w:rsid w:val="00B86B2D"/>
    <w:rPr>
      <w:rFonts w:asciiTheme="minorHAnsi" w:hAnsiTheme="minorHAnsi" w:eastAsiaTheme="majorEastAsia" w:cstheme="majorBidi"/>
      <w:i/>
      <w:iCs/>
      <w:color w:val="0F4761" w:themeColor="accent1" w:themeShade="BF"/>
    </w:rPr>
  </w:style>
  <w:style w:type="character" w:styleId="Titolo5Carattere" w:customStyle="1">
    <w:name w:val="Titolo 5 Carattere"/>
    <w:basedOn w:val="Carpredefinitoparagrafo"/>
    <w:link w:val="Titolo5"/>
    <w:uiPriority w:val="9"/>
    <w:semiHidden/>
    <w:rsid w:val="00B86B2D"/>
    <w:rPr>
      <w:rFonts w:asciiTheme="minorHAnsi" w:hAnsiTheme="minorHAnsi" w:eastAsiaTheme="majorEastAsia" w:cstheme="majorBidi"/>
      <w:color w:val="0F4761" w:themeColor="accent1" w:themeShade="BF"/>
    </w:rPr>
  </w:style>
  <w:style w:type="character" w:styleId="Titolo6Carattere" w:customStyle="1">
    <w:name w:val="Titolo 6 Carattere"/>
    <w:basedOn w:val="Carpredefinitoparagrafo"/>
    <w:link w:val="Titolo6"/>
    <w:uiPriority w:val="9"/>
    <w:semiHidden/>
    <w:rsid w:val="00B86B2D"/>
    <w:rPr>
      <w:rFonts w:asciiTheme="minorHAnsi" w:hAnsiTheme="minorHAnsi" w:eastAsiaTheme="majorEastAsia" w:cstheme="majorBidi"/>
      <w:i/>
      <w:iCs/>
      <w:color w:val="595959" w:themeColor="text1" w:themeTint="A6"/>
    </w:rPr>
  </w:style>
  <w:style w:type="character" w:styleId="Titolo7Carattere" w:customStyle="1">
    <w:name w:val="Titolo 7 Carattere"/>
    <w:basedOn w:val="Carpredefinitoparagrafo"/>
    <w:link w:val="Titolo7"/>
    <w:uiPriority w:val="9"/>
    <w:semiHidden/>
    <w:rsid w:val="00B86B2D"/>
    <w:rPr>
      <w:rFonts w:asciiTheme="minorHAnsi" w:hAnsiTheme="minorHAnsi" w:eastAsiaTheme="majorEastAsia" w:cstheme="majorBidi"/>
      <w:color w:val="595959" w:themeColor="text1" w:themeTint="A6"/>
    </w:rPr>
  </w:style>
  <w:style w:type="character" w:styleId="Titolo8Carattere" w:customStyle="1">
    <w:name w:val="Titolo 8 Carattere"/>
    <w:basedOn w:val="Carpredefinitoparagrafo"/>
    <w:link w:val="Titolo8"/>
    <w:uiPriority w:val="9"/>
    <w:semiHidden/>
    <w:rsid w:val="00B86B2D"/>
    <w:rPr>
      <w:rFonts w:asciiTheme="minorHAnsi" w:hAnsiTheme="minorHAnsi" w:eastAsiaTheme="majorEastAsia" w:cstheme="majorBidi"/>
      <w:i/>
      <w:iCs/>
      <w:color w:val="272727" w:themeColor="text1" w:themeTint="D8"/>
    </w:rPr>
  </w:style>
  <w:style w:type="character" w:styleId="Titolo9Carattere" w:customStyle="1">
    <w:name w:val="Titolo 9 Carattere"/>
    <w:basedOn w:val="Carpredefinitoparagrafo"/>
    <w:link w:val="Titolo9"/>
    <w:uiPriority w:val="9"/>
    <w:semiHidden/>
    <w:rsid w:val="00B86B2D"/>
    <w:rPr>
      <w:rFonts w:asciiTheme="minorHAnsi" w:hAnsiTheme="minorHAnsi" w:eastAsiaTheme="majorEastAsia" w:cstheme="majorBidi"/>
      <w:color w:val="272727" w:themeColor="text1" w:themeTint="D8"/>
    </w:rPr>
  </w:style>
  <w:style w:type="paragraph" w:styleId="Titolo">
    <w:name w:val="Title"/>
    <w:basedOn w:val="Normale"/>
    <w:next w:val="Normale"/>
    <w:link w:val="TitoloCarattere"/>
    <w:uiPriority w:val="10"/>
    <w:qFormat/>
    <w:rsid w:val="00B86B2D"/>
    <w:pPr>
      <w:spacing w:after="80"/>
      <w:contextualSpacing/>
    </w:pPr>
    <w:rPr>
      <w:rFonts w:asciiTheme="majorHAnsi" w:hAnsiTheme="majorHAnsi" w:eastAsiaTheme="majorEastAsia" w:cstheme="majorBidi"/>
      <w:spacing w:val="-10"/>
      <w:kern w:val="28"/>
      <w:sz w:val="56"/>
      <w:szCs w:val="56"/>
    </w:rPr>
  </w:style>
  <w:style w:type="character" w:styleId="TitoloCarattere" w:customStyle="1">
    <w:name w:val="Titolo Carattere"/>
    <w:basedOn w:val="Carpredefinitoparagrafo"/>
    <w:link w:val="Titolo"/>
    <w:uiPriority w:val="10"/>
    <w:rsid w:val="00B86B2D"/>
    <w:rPr>
      <w:rFonts w:asciiTheme="majorHAnsi" w:hAnsiTheme="majorHAnsi" w:eastAsiaTheme="majorEastAsia" w:cstheme="majorBidi"/>
      <w:spacing w:val="-10"/>
      <w:kern w:val="28"/>
      <w:sz w:val="56"/>
      <w:szCs w:val="56"/>
    </w:rPr>
  </w:style>
  <w:style w:type="paragraph" w:styleId="Sottotitolo">
    <w:name w:val="Subtitle"/>
    <w:basedOn w:val="Normale"/>
    <w:next w:val="Normale"/>
    <w:link w:val="SottotitoloCarattere"/>
    <w:uiPriority w:val="11"/>
    <w:qFormat/>
    <w:rsid w:val="00B86B2D"/>
    <w:pPr>
      <w:numPr>
        <w:ilvl w:val="1"/>
      </w:numPr>
    </w:pPr>
    <w:rPr>
      <w:rFonts w:asciiTheme="minorHAnsi" w:hAnsiTheme="minorHAnsi" w:eastAsiaTheme="majorEastAsia" w:cstheme="majorBidi"/>
      <w:color w:val="595959" w:themeColor="text1" w:themeTint="A6"/>
      <w:spacing w:val="15"/>
      <w:sz w:val="28"/>
      <w:szCs w:val="28"/>
    </w:rPr>
  </w:style>
  <w:style w:type="character" w:styleId="SottotitoloCarattere" w:customStyle="1">
    <w:name w:val="Sottotitolo Carattere"/>
    <w:basedOn w:val="Carpredefinitoparagrafo"/>
    <w:link w:val="Sottotitolo"/>
    <w:uiPriority w:val="11"/>
    <w:rsid w:val="00B86B2D"/>
    <w:rPr>
      <w:rFonts w:asciiTheme="minorHAnsi" w:hAnsiTheme="minorHAnsi"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B86B2D"/>
    <w:pPr>
      <w:spacing w:before="160"/>
      <w:jc w:val="center"/>
    </w:pPr>
    <w:rPr>
      <w:i/>
      <w:iCs/>
      <w:color w:val="404040" w:themeColor="text1" w:themeTint="BF"/>
    </w:rPr>
  </w:style>
  <w:style w:type="character" w:styleId="CitazioneCarattere" w:customStyle="1">
    <w:name w:val="Citazione Carattere"/>
    <w:basedOn w:val="Carpredefinitoparagrafo"/>
    <w:link w:val="Citazione"/>
    <w:uiPriority w:val="29"/>
    <w:rsid w:val="00B86B2D"/>
    <w:rPr>
      <w:i/>
      <w:iCs/>
      <w:color w:val="404040" w:themeColor="text1" w:themeTint="BF"/>
    </w:rPr>
  </w:style>
  <w:style w:type="paragraph" w:styleId="Paragrafoelenco">
    <w:name w:val="List Paragraph"/>
    <w:basedOn w:val="Normale"/>
    <w:uiPriority w:val="34"/>
    <w:qFormat/>
    <w:rsid w:val="00B86B2D"/>
    <w:pPr>
      <w:ind w:left="720"/>
      <w:contextualSpacing/>
    </w:pPr>
  </w:style>
  <w:style w:type="character" w:styleId="Enfasiintensa">
    <w:name w:val="Intense Emphasis"/>
    <w:basedOn w:val="Carpredefinitoparagrafo"/>
    <w:uiPriority w:val="21"/>
    <w:qFormat/>
    <w:rsid w:val="00B86B2D"/>
    <w:rPr>
      <w:i/>
      <w:iCs/>
      <w:color w:val="0F4761" w:themeColor="accent1" w:themeShade="BF"/>
    </w:rPr>
  </w:style>
  <w:style w:type="paragraph" w:styleId="Citazioneintensa">
    <w:name w:val="Intense Quote"/>
    <w:basedOn w:val="Normale"/>
    <w:next w:val="Normale"/>
    <w:link w:val="CitazioneintensaCarattere"/>
    <w:uiPriority w:val="30"/>
    <w:qFormat/>
    <w:rsid w:val="00B86B2D"/>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zioneintensaCarattere" w:customStyle="1">
    <w:name w:val="Citazione intensa Carattere"/>
    <w:basedOn w:val="Carpredefinitoparagrafo"/>
    <w:link w:val="Citazioneintensa"/>
    <w:uiPriority w:val="30"/>
    <w:rsid w:val="00B86B2D"/>
    <w:rPr>
      <w:i/>
      <w:iCs/>
      <w:color w:val="0F4761" w:themeColor="accent1" w:themeShade="BF"/>
    </w:rPr>
  </w:style>
  <w:style w:type="character" w:styleId="Riferimentointenso">
    <w:name w:val="Intense Reference"/>
    <w:basedOn w:val="Carpredefinitoparagrafo"/>
    <w:uiPriority w:val="32"/>
    <w:qFormat/>
    <w:rsid w:val="00B86B2D"/>
    <w:rPr>
      <w:b/>
      <w:bCs/>
      <w:smallCaps/>
      <w:color w:val="0F4761" w:themeColor="accent1" w:themeShade="BF"/>
      <w:spacing w:val="5"/>
    </w:rPr>
  </w:style>
  <w:style w:type="table" w:styleId="Grigliatabella">
    <w:name w:val="Table Grid"/>
    <w:basedOn w:val="Tabellanormale"/>
    <w:uiPriority w:val="39"/>
    <w:rsid w:val="00014214"/>
    <w:pPr>
      <w:spacing w:after="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Collegamentoipertestuale">
    <w:name w:val="Hyperlink"/>
    <w:basedOn w:val="Carpredefinitoparagrafo"/>
    <w:uiPriority w:val="99"/>
    <w:unhideWhenUsed/>
    <w:rsid w:val="00950348"/>
    <w:rPr>
      <w:color w:val="467886" w:themeColor="hyperlink"/>
      <w:u w:val="single"/>
    </w:rPr>
  </w:style>
  <w:style w:type="paragraph" w:styleId="Revisione">
    <w:name w:val="Revision"/>
    <w:hidden/>
    <w:uiPriority w:val="99"/>
    <w:semiHidden/>
    <w:rsid w:val="00710B38"/>
    <w:pPr>
      <w:spacing w:after="0"/>
      <w:jc w:val="left"/>
    </w:pPr>
  </w:style>
  <w:style w:type="character" w:styleId="Rimandocommento">
    <w:name w:val="annotation reference"/>
    <w:basedOn w:val="Carpredefinitoparagrafo"/>
    <w:uiPriority w:val="99"/>
    <w:semiHidden/>
    <w:unhideWhenUsed/>
    <w:rsid w:val="00710B38"/>
    <w:rPr>
      <w:sz w:val="16"/>
      <w:szCs w:val="16"/>
    </w:rPr>
  </w:style>
  <w:style w:type="paragraph" w:styleId="Testocommento">
    <w:name w:val="annotation text"/>
    <w:basedOn w:val="Normale"/>
    <w:link w:val="TestocommentoCarattere"/>
    <w:uiPriority w:val="99"/>
    <w:semiHidden/>
    <w:unhideWhenUsed/>
    <w:rsid w:val="00710B38"/>
    <w:rPr>
      <w:sz w:val="20"/>
      <w:szCs w:val="20"/>
    </w:rPr>
  </w:style>
  <w:style w:type="character" w:styleId="TestocommentoCarattere" w:customStyle="1">
    <w:name w:val="Testo commento Carattere"/>
    <w:basedOn w:val="Carpredefinitoparagrafo"/>
    <w:link w:val="Testocommento"/>
    <w:uiPriority w:val="99"/>
    <w:semiHidden/>
    <w:rsid w:val="00710B38"/>
    <w:rPr>
      <w:sz w:val="20"/>
      <w:szCs w:val="20"/>
    </w:rPr>
  </w:style>
  <w:style w:type="paragraph" w:styleId="Soggettocommento">
    <w:name w:val="annotation subject"/>
    <w:basedOn w:val="Testocommento"/>
    <w:next w:val="Testocommento"/>
    <w:link w:val="SoggettocommentoCarattere"/>
    <w:uiPriority w:val="99"/>
    <w:semiHidden/>
    <w:unhideWhenUsed/>
    <w:rsid w:val="00710B38"/>
    <w:rPr>
      <w:b/>
      <w:bCs/>
    </w:rPr>
  </w:style>
  <w:style w:type="character" w:styleId="SoggettocommentoCarattere" w:customStyle="1">
    <w:name w:val="Soggetto commento Carattere"/>
    <w:basedOn w:val="TestocommentoCarattere"/>
    <w:link w:val="Soggettocommento"/>
    <w:uiPriority w:val="99"/>
    <w:semiHidden/>
    <w:rsid w:val="00710B3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martina castoldi</dc:creator>
  <keywords/>
  <dc:description/>
  <lastModifiedBy>Carlotta Trevisanello</lastModifiedBy>
  <revision>17</revision>
  <dcterms:created xsi:type="dcterms:W3CDTF">2026-04-28T14:33:00.0000000Z</dcterms:created>
  <dcterms:modified xsi:type="dcterms:W3CDTF">2026-05-17T05:55:24.2408837Z</dcterms:modified>
</coreProperties>
</file>