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246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844E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844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44E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844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44E2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3844E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844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44E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844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44E2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844E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844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44E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844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44E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844E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844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44E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844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44E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844E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844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44E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844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44E2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3844E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844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44E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844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44E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844E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844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44E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844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44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844E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844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44E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844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44E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844E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844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44E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7475A03" w14:textId="77777777" w:rsidR="004F3910" w:rsidRPr="003844E2" w:rsidRDefault="000A22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44E2">
              <w:rPr>
                <w:rFonts w:ascii="Titillium Web" w:hAnsi="Titillium Web"/>
                <w:i/>
                <w:iCs/>
                <w:szCs w:val="24"/>
              </w:rPr>
              <w:t>Tomba 246 umata (devastata)</w:t>
            </w:r>
          </w:p>
          <w:p w14:paraId="37550A52" w14:textId="77777777" w:rsidR="004F3910" w:rsidRPr="003844E2" w:rsidRDefault="000A22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44E2">
              <w:rPr>
                <w:rFonts w:ascii="Titillium Web" w:hAnsi="Titillium Web"/>
                <w:i/>
                <w:iCs/>
                <w:szCs w:val="24"/>
              </w:rPr>
              <w:t>A m. 15 dallo scolo B, e a m. 7 dal vecchio scavo, a m. 0,60 di profondità si rinvenne una tomba con scheletro, devastata.</w:t>
            </w:r>
          </w:p>
          <w:p w14:paraId="5479AE79" w14:textId="77777777" w:rsidR="004F3910" w:rsidRPr="003844E2" w:rsidRDefault="000A22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44E2">
              <w:rPr>
                <w:rFonts w:ascii="Titillium Web" w:hAnsi="Titillium Web"/>
                <w:i/>
                <w:iCs/>
                <w:szCs w:val="24"/>
              </w:rPr>
              <w:t>Fra le ossa sparse ovunque si rinviene:</w:t>
            </w:r>
          </w:p>
          <w:p w14:paraId="5B274B1F" w14:textId="77777777" w:rsidR="004F3910" w:rsidRPr="003844E2" w:rsidRDefault="000A22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44E2">
              <w:rPr>
                <w:rFonts w:ascii="Titillium Web" w:hAnsi="Titillium Web"/>
                <w:i/>
                <w:iCs/>
                <w:szCs w:val="24"/>
              </w:rPr>
              <w:t>1 oinocoe a forma di fiasco panciuto, con le solite decorazioni a tinta bruna di testoni mal disegnati e di palmette e di volute, alto 0,15 –</w:t>
            </w:r>
          </w:p>
          <w:p w14:paraId="0D79C513" w14:textId="77777777" w:rsidR="004F3910" w:rsidRPr="003844E2" w:rsidRDefault="000A22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44E2">
              <w:rPr>
                <w:rFonts w:ascii="Titillium Web" w:hAnsi="Titillium Web"/>
                <w:i/>
                <w:iCs/>
                <w:szCs w:val="24"/>
              </w:rPr>
              <w:t>Manca della bocca e dell’ansa.</w:t>
            </w:r>
          </w:p>
          <w:p w14:paraId="138A1118" w14:textId="77777777" w:rsidR="004F3910" w:rsidRPr="003844E2" w:rsidRDefault="000A22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44E2">
              <w:rPr>
                <w:rFonts w:ascii="Titillium Web" w:hAnsi="Titillium Web"/>
                <w:i/>
                <w:iCs/>
                <w:szCs w:val="24"/>
              </w:rPr>
              <w:t>1 scodella di argilla cenerognola, intera grezza – diam. 0,13</w:t>
            </w:r>
          </w:p>
        </w:tc>
      </w:tr>
      <w:tr w:rsidR="0086297F" w:rsidRPr="003844E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844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44E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844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44E2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3844E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844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44E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844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44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844E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844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44E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844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44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844E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844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44E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844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44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844E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844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44E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2BE791F" w14:textId="77777777" w:rsidR="004F3910" w:rsidRPr="003844E2" w:rsidRDefault="000A22F1" w:rsidP="003844E2">
            <w:pPr>
              <w:jc w:val="center"/>
              <w:rPr>
                <w:rFonts w:ascii="Titillium Web" w:hAnsi="Titillium Web"/>
                <w:szCs w:val="24"/>
              </w:rPr>
            </w:pPr>
            <w:r w:rsidRPr="003844E2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3844E2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844E2"/>
    <w:rsid w:val="00472AF4"/>
    <w:rsid w:val="004F3910"/>
    <w:rsid w:val="00551AF8"/>
    <w:rsid w:val="005B5AFF"/>
    <w:rsid w:val="006162A4"/>
    <w:rsid w:val="006346F7"/>
    <w:rsid w:val="006D6EFB"/>
    <w:rsid w:val="007145BC"/>
    <w:rsid w:val="008378E1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2026-05-18T09:40:00Z</dcterms:modified>
</cp:coreProperties>
</file>