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2253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72253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2253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2253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2253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72253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2253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72253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253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10AB12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Tomba 256 - a umazione.</w:t>
            </w:r>
          </w:p>
          <w:p w14:paraId="507F962C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A m. 18 dal canale B. e a m. 1 dal limite S. dello scavo vecchio; a m. 1.00 di profondità giaceva uno scheletro orientato da pon. a lev.</w:t>
            </w:r>
          </w:p>
          <w:p w14:paraId="49B0FE82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Presso il fianco destro, in un cumulo aveva:</w:t>
            </w:r>
          </w:p>
          <w:p w14:paraId="2620A9FA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1 oinocoe a bocca trilobata, a fig. rosse, di disegno trascurato, con scena di abbigliamento femm.le. Sulla figura centrale sono visibilissime le traccie del color bianco ond’era dipinta. È intero, alto 0,17</w:t>
            </w:r>
          </w:p>
          <w:p w14:paraId="4E25B31C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1 altro idem in minuti frammenti -</w:t>
            </w:r>
          </w:p>
          <w:p w14:paraId="17552A77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1 tazzina a forma di kylix con basso piede, a fig. rosse nel medaglione (fig. di giovane nudo) strapazzatissima - in frammenti, restaurabile</w:t>
            </w:r>
          </w:p>
          <w:p w14:paraId="394AE349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1 lucernina tonda e piatta, con ansa orrizontale e due figure animali ai lati dell’ansa, intera</w:t>
            </w:r>
          </w:p>
          <w:p w14:paraId="08FE2903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2253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22535">
              <w:rPr>
                <w:rFonts w:ascii="Titillium Web" w:hAnsi="Titillium Web"/>
                <w:i/>
                <w:iCs/>
                <w:szCs w:val="24"/>
              </w:rPr>
              <w:t xml:space="preserve"> reggi vasetto a vern. nera.</w:t>
            </w:r>
          </w:p>
          <w:p w14:paraId="19780221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22535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722535">
              <w:rPr>
                <w:rFonts w:ascii="Titillium Web" w:hAnsi="Titillium Web"/>
                <w:i/>
                <w:iCs/>
                <w:szCs w:val="24"/>
              </w:rPr>
              <w:t xml:space="preserve"> piattelli di argilla gialla, grezzi (uno con sigla graffita nel fondello)</w:t>
            </w:r>
          </w:p>
          <w:p w14:paraId="2BF65BA5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1 altro piattello più grande con piede rotto</w:t>
            </w:r>
          </w:p>
          <w:p w14:paraId="25269080" w14:textId="77777777" w:rsidR="008C1DA0" w:rsidRPr="00722535" w:rsidRDefault="00F813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535">
              <w:rPr>
                <w:rFonts w:ascii="Titillium Web" w:hAnsi="Titillium Web"/>
                <w:i/>
                <w:iCs/>
                <w:szCs w:val="24"/>
              </w:rPr>
              <w:t>1 tazza a ver. n., intera.</w:t>
            </w:r>
          </w:p>
        </w:tc>
      </w:tr>
      <w:tr w:rsidR="0086297F" w:rsidRPr="0072253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2253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253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253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225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253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225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53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8243E2" w14:textId="77777777" w:rsidR="008C1DA0" w:rsidRPr="00722535" w:rsidRDefault="00F813AA" w:rsidP="00722535">
            <w:pPr>
              <w:jc w:val="center"/>
              <w:rPr>
                <w:rFonts w:ascii="Titillium Web" w:hAnsi="Titillium Web"/>
                <w:szCs w:val="24"/>
              </w:rPr>
            </w:pPr>
            <w:r w:rsidRPr="00722535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722535">
              <w:rPr>
                <w:rFonts w:ascii="Titillium Web" w:eastAsia="Titillium" w:hAnsi="Titillium Web" w:cs="Titillium"/>
                <w:szCs w:val="24"/>
              </w:rPr>
              <w:t xml:space="preserve"> 1927, p. 156; </w:t>
            </w:r>
            <w:r w:rsidRPr="00722535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722535">
              <w:rPr>
                <w:rFonts w:ascii="Titillium Web" w:eastAsia="Titillium" w:hAnsi="Titillium Web" w:cs="Titillium"/>
                <w:szCs w:val="24"/>
              </w:rPr>
              <w:t xml:space="preserve"> 1978, pp. 15-17; </w:t>
            </w:r>
            <w:r w:rsidRPr="00722535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22535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22535"/>
    <w:rsid w:val="0086297F"/>
    <w:rsid w:val="00862D0E"/>
    <w:rsid w:val="008C1DA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2026-05-18T09:46:00Z</dcterms:modified>
</cp:coreProperties>
</file>