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642E3F" w:rsidR="001B5504" w:rsidTr="682F780D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642E3F" w:rsidR="001B5504" w:rsidTr="682F780D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Pr="00642E3F" w:rsidR="001B5504" w:rsidTr="682F780D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392705" w14:paraId="18226334" w14:textId="07EA37C2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Resti non rivenuti</w:t>
            </w:r>
          </w:p>
        </w:tc>
      </w:tr>
      <w:tr w:rsidRPr="00642E3F" w:rsidR="001B5504" w:rsidTr="682F780D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Pr="00642E3F" w:rsidR="001B5504" w:rsidTr="682F780D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392705" w14:paraId="4AC1C871" w14:textId="3F69D2C9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/</w:t>
            </w:r>
          </w:p>
        </w:tc>
      </w:tr>
      <w:tr w:rsidRPr="00642E3F" w:rsidR="001B5504" w:rsidTr="682F780D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642E3F" w:rsidR="001B5504" w:rsidTr="682F780D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392705" w14:paraId="01C3562F" w14:textId="59C84388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/</w:t>
            </w:r>
          </w:p>
        </w:tc>
      </w:tr>
      <w:tr w:rsidRPr="00642E3F" w:rsidR="001B5504" w:rsidTr="682F780D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392705" w14:paraId="6599D472" w14:textId="72D3A26D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/</w:t>
            </w:r>
          </w:p>
        </w:tc>
      </w:tr>
      <w:tr w:rsidRPr="00642E3F" w:rsidR="001B5504" w:rsidTr="682F780D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1A6B7E7E" w14:textId="39FB7181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642E3F">
              <w:rPr>
                <w:rFonts w:ascii="Titillium Web" w:hAnsi="Titillium Web"/>
                <w:i/>
                <w:iCs/>
                <w:szCs w:val="24"/>
              </w:rPr>
              <w:t>Tomba 26 senza scheletro – (frugata?)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Nel mattino proseguendo l’esplorazione nella parte sud del dosso ho rinvenuto a m. 3 a sud-est della precedente, quasi a fior di terra, un accumulo di piccoli vasetti senza scheletro e senza ossa combuste.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Già mi fa supporre che probabilmente la tomba fosse a cremazione, le ceneri saranno state poste entro un dolietto e siccome i vasetti piccoli affioravano, il dolio avrà adirittura emerso dalla terra e qualcuno l’avrà scavato e poscia rotto e disperso.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Il gruppo dei vasetti conteneva: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1 oinochoe figurata (a f.r. su f.n.) con bocca a beccuccio allungato e ai lati presso l’attacco della ansa, due pomelli a rotelle. Sul ventre del vaso figura di donna seduta che sembra abbigliarsi. Ha il collo staccato e dell’ansa manca un pezzetto; alta 0,17.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1 altro oinochoe a bocca trilobata, a vern. n., e ha nel ventre una figura rossa, di donna che incede verso d. con in mano una cassetta? intero.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1 lucerna con disegni di animali (ha l’ansa staccata) è di disegno trascuratissimo e vernice cattiva.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2 piccolissime tazzine a vern. n. (una rotta)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1 aryballos ovoidale in fram.ti rovinato e irrestaurabile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- frammenti di un piccolo skyphos a disegni di fogliami.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1 piattello ad alto piede, di terra rossa locale.</w:t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642E3F">
              <w:rPr>
                <w:rFonts w:ascii="Titillium Web" w:hAnsi="Titillium Web"/>
                <w:i/>
                <w:iCs/>
                <w:szCs w:val="24"/>
              </w:rPr>
              <w:t>altri frammenti.</w:t>
            </w:r>
          </w:p>
        </w:tc>
      </w:tr>
      <w:tr w:rsidRPr="00642E3F" w:rsidR="001B5504" w:rsidTr="682F780D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1DA05276" w:rsidRDefault="00FB2DA7" w14:paraId="335B53CE" w14:textId="14F38117">
            <w:pPr>
              <w:jc w:val="center"/>
              <w:rPr>
                <w:rFonts w:ascii="Titillium Web" w:hAnsi="Titillium Web" w:cs="Times New Roman"/>
              </w:rPr>
            </w:pPr>
            <w:r w:rsidRPr="1DA05276" w:rsidR="25C4734E">
              <w:rPr>
                <w:rFonts w:ascii="Titillium Web" w:hAnsi="Titillium Web" w:cs="Times New Roman"/>
              </w:rPr>
              <w:t>Non sono stati rinvenuti i resti del defunto e non è nota la disposizione del corredo, se non per l’indicazione che i vasi fossero raggruppati. Il corredo, probabilmente lacunoso, comprendeva vasi atti</w:t>
            </w:r>
            <w:r w:rsidRPr="1DA05276" w:rsidR="6B420368">
              <w:rPr>
                <w:rFonts w:ascii="Titillium Web" w:hAnsi="Titillium Web" w:cs="Times New Roman"/>
              </w:rPr>
              <w:t>c</w:t>
            </w:r>
            <w:r w:rsidRPr="1DA05276" w:rsidR="25C4734E">
              <w:rPr>
                <w:rFonts w:ascii="Titillium Web" w:hAnsi="Titillium Web" w:cs="Times New Roman"/>
              </w:rPr>
              <w:t xml:space="preserve">i, a </w:t>
            </w:r>
            <w:r w:rsidRPr="1DA05276" w:rsidR="25C4734E">
              <w:rPr>
                <w:rFonts w:ascii="Titillium Web" w:hAnsi="Titillium Web" w:cs="Times New Roman"/>
              </w:rPr>
              <w:t>f.r</w:t>
            </w:r>
            <w:r w:rsidRPr="1DA05276" w:rsidR="25C4734E">
              <w:rPr>
                <w:rFonts w:ascii="Titillium Web" w:hAnsi="Titillium Web" w:cs="Times New Roman"/>
              </w:rPr>
              <w:t>. a e v.n. (</w:t>
            </w:r>
            <w:r w:rsidRPr="1DA05276" w:rsidR="25C4734E">
              <w:rPr>
                <w:rFonts w:ascii="Titillium Web" w:hAnsi="Titillium Web" w:cs="Times New Roman"/>
              </w:rPr>
              <w:t>nn</w:t>
            </w:r>
            <w:r w:rsidRPr="1DA05276" w:rsidR="25C4734E">
              <w:rPr>
                <w:rFonts w:ascii="Titillium Web" w:hAnsi="Titillium Web" w:cs="Times New Roman"/>
              </w:rPr>
              <w:t>. 1-7), ed una coppa di produzione locale in ceramica grigia (n. 8). Fra gli oggetti descritti nel GdS, l’</w:t>
            </w:r>
            <w:r w:rsidRPr="1DA05276" w:rsidR="25C4734E">
              <w:rPr>
                <w:rFonts w:ascii="Titillium Web" w:hAnsi="Titillium Web" w:cs="Times New Roman"/>
                <w:i w:val="1"/>
                <w:iCs w:val="1"/>
              </w:rPr>
              <w:t>oinochoe</w:t>
            </w:r>
            <w:r w:rsidRPr="1DA05276" w:rsidR="25C4734E">
              <w:rPr>
                <w:rFonts w:ascii="Titillium Web" w:hAnsi="Titillium Web" w:cs="Times New Roman"/>
              </w:rPr>
              <w:t xml:space="preserve"> attica a </w:t>
            </w:r>
            <w:r w:rsidRPr="1DA05276" w:rsidR="25C4734E">
              <w:rPr>
                <w:rFonts w:ascii="Titillium Web" w:hAnsi="Titillium Web" w:cs="Times New Roman"/>
              </w:rPr>
              <w:t>f.r</w:t>
            </w:r>
            <w:r w:rsidRPr="1DA05276" w:rsidR="25C4734E">
              <w:rPr>
                <w:rFonts w:ascii="Titillium Web" w:hAnsi="Titillium Web" w:cs="Times New Roman"/>
              </w:rPr>
              <w:t>. (n. 2*) risulta attualmente perduta.</w:t>
            </w:r>
          </w:p>
          <w:p w:rsidRPr="00642E3F" w:rsidR="00A219C2" w:rsidP="00A219C2" w:rsidRDefault="00A219C2" w14:paraId="34D7CCD0" w14:textId="3200CC4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1. </w:t>
            </w:r>
            <w:hyperlink w:history="1" r:id="rId5">
              <w:r w:rsidRPr="00642E3F">
                <w:rPr>
                  <w:rStyle w:val="Collegamentoipertestuale"/>
                  <w:rFonts w:ascii="Titillium Web" w:hAnsi="Titillium Web" w:cs="Times New Roman"/>
                  <w:b/>
                  <w:bCs/>
                  <w:szCs w:val="24"/>
                </w:rPr>
                <w:t>Oinochoe attica a bocca trilobata</w:t>
              </w:r>
            </w:hyperlink>
            <w:r w:rsidRPr="00642E3F">
              <w:rPr>
                <w:rFonts w:ascii="Titillium Web" w:hAnsi="Titillium Web" w:cs="Times New Roman"/>
                <w:szCs w:val="24"/>
              </w:rPr>
              <w:t xml:space="preserve"> (IG 16025; figure rosse)</w:t>
            </w:r>
          </w:p>
          <w:p w:rsidRPr="00642E3F" w:rsidR="00A219C2" w:rsidP="00A219C2" w:rsidRDefault="00A219C2" w14:paraId="55D90E12" w14:textId="63AACD6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>2</w:t>
            </w:r>
            <w:r w:rsidRPr="00642E3F" w:rsidR="00704806">
              <w:rPr>
                <w:rFonts w:ascii="Titillium Web" w:hAnsi="Titillium Web" w:cs="Times New Roman"/>
                <w:szCs w:val="24"/>
              </w:rPr>
              <w:t>*</w:t>
            </w:r>
            <w:r w:rsidRPr="00642E3F">
              <w:rPr>
                <w:rFonts w:ascii="Titillium Web" w:hAnsi="Titillium Web" w:cs="Times New Roman"/>
                <w:szCs w:val="24"/>
              </w:rPr>
              <w:t xml:space="preserve">. </w:t>
            </w:r>
            <w:r w:rsidRPr="00642E3F">
              <w:rPr>
                <w:rFonts w:ascii="Titillium Web" w:hAnsi="Titillium Web" w:cs="Times New Roman"/>
                <w:szCs w:val="24"/>
              </w:rPr>
              <w:t>Oinochoe attica a becco (IG 2481; figure rosse)</w:t>
            </w:r>
          </w:p>
          <w:p w:rsidRPr="00642E3F" w:rsidR="00A219C2" w:rsidP="00A219C2" w:rsidRDefault="00A219C2" w14:paraId="02FD9F76" w14:textId="129CB32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3. </w:t>
            </w:r>
            <w:r w:rsidRPr="00642E3F">
              <w:rPr>
                <w:rFonts w:ascii="Titillium Web" w:hAnsi="Titillium Web" w:cs="Times New Roman"/>
                <w:szCs w:val="24"/>
              </w:rPr>
              <w:t>Skyphos attico (IG 443; figure rosse)</w:t>
            </w:r>
          </w:p>
          <w:p w:rsidRPr="00642E3F" w:rsidR="00A219C2" w:rsidP="00A219C2" w:rsidRDefault="00A219C2" w14:paraId="56DB19F4" w14:textId="33F9C23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4. </w:t>
            </w:r>
            <w:r w:rsidRPr="00642E3F">
              <w:rPr>
                <w:rFonts w:ascii="Titillium Web" w:hAnsi="Titillium Web" w:cs="Times New Roman"/>
                <w:szCs w:val="24"/>
              </w:rPr>
              <w:t>Askòs lenticolare attico (IG 442; figure rosse)</w:t>
            </w:r>
          </w:p>
          <w:p w:rsidRPr="00642E3F" w:rsidR="00A219C2" w:rsidP="00A219C2" w:rsidRDefault="00A219C2" w14:paraId="2E7F864D" w14:textId="42946B8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5. </w:t>
            </w:r>
            <w:r w:rsidRPr="00642E3F">
              <w:rPr>
                <w:rFonts w:ascii="Titillium Web" w:hAnsi="Titillium Web" w:cs="Times New Roman"/>
                <w:szCs w:val="24"/>
              </w:rPr>
              <w:t>Ciotola attica (IG 441; vernice nera)</w:t>
            </w:r>
          </w:p>
          <w:p w:rsidRPr="00642E3F" w:rsidR="00A219C2" w:rsidP="00A219C2" w:rsidRDefault="00A219C2" w14:paraId="6D500E96" w14:textId="440B2FD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6. </w:t>
            </w:r>
            <w:r w:rsidRPr="00642E3F">
              <w:rPr>
                <w:rFonts w:ascii="Titillium Web" w:hAnsi="Titillium Web" w:cs="Times New Roman"/>
                <w:szCs w:val="24"/>
              </w:rPr>
              <w:t>Ciotola attica (IG 452; vernice nera)</w:t>
            </w:r>
          </w:p>
          <w:p w:rsidRPr="00642E3F" w:rsidR="00A219C2" w:rsidP="00A219C2" w:rsidRDefault="00A219C2" w14:paraId="334C8FCC" w14:textId="4A21723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7. </w:t>
            </w:r>
            <w:r w:rsidRPr="00642E3F">
              <w:rPr>
                <w:rFonts w:ascii="Titillium Web" w:hAnsi="Titillium Web" w:cs="Times New Roman"/>
                <w:szCs w:val="24"/>
              </w:rPr>
              <w:t xml:space="preserve">Lekythos </w:t>
            </w:r>
            <w:proofErr w:type="spellStart"/>
            <w:r w:rsidRPr="00642E3F">
              <w:rPr>
                <w:rFonts w:ascii="Titillium Web" w:hAnsi="Titillium Web" w:cs="Times New Roman"/>
                <w:szCs w:val="24"/>
              </w:rPr>
              <w:t>aryballica</w:t>
            </w:r>
            <w:proofErr w:type="spellEnd"/>
            <w:r w:rsidRPr="00642E3F">
              <w:rPr>
                <w:rFonts w:ascii="Titillium Web" w:hAnsi="Titillium Web" w:cs="Times New Roman"/>
                <w:szCs w:val="24"/>
              </w:rPr>
              <w:t xml:space="preserve"> attica (IG 439; vernice nera)</w:t>
            </w:r>
          </w:p>
          <w:p w:rsidRPr="00642E3F" w:rsidR="00A219C2" w:rsidP="00A219C2" w:rsidRDefault="00A219C2" w14:paraId="5EE32F9C" w14:textId="7D74CE0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642E3F">
              <w:rPr>
                <w:rFonts w:ascii="Titillium Web" w:hAnsi="Titillium Web" w:cs="Times New Roman"/>
                <w:szCs w:val="24"/>
              </w:rPr>
              <w:t xml:space="preserve">8. </w:t>
            </w:r>
            <w:r w:rsidRPr="00642E3F">
              <w:rPr>
                <w:rFonts w:ascii="Titillium Web" w:hAnsi="Titillium Web" w:cs="Times New Roman"/>
                <w:szCs w:val="24"/>
              </w:rPr>
              <w:t>Coppa su alto piede di produzione locale (IG 440; ceramica grigia)</w:t>
            </w:r>
          </w:p>
        </w:tc>
      </w:tr>
      <w:tr w:rsidRPr="00642E3F" w:rsidR="001B5504" w:rsidTr="682F780D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FA7DFF" w14:paraId="3ED37A74" w14:textId="38BADB11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642E3F" w:rsidR="001B5504" w:rsidTr="682F780D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642E3F" w:rsidR="009C6D94" w:rsidP="00642E3F" w:rsidRDefault="009C6D94" w14:paraId="01C8A558" w14:textId="2A2E7BE8">
            <w:pPr>
              <w:pStyle w:val="Default"/>
              <w:contextualSpacing/>
              <w:jc w:val="center"/>
              <w:rPr>
                <w:rFonts w:ascii="Titillium Web" w:hAnsi="Titillium Web"/>
              </w:rPr>
            </w:pPr>
            <w:r w:rsidRPr="00642E3F">
              <w:rPr>
                <w:rFonts w:ascii="Titillium Web" w:hAnsi="Titillium Web"/>
              </w:rPr>
              <w:t>La mancanza dei resti scheletrici potrebbe suggerire che si trattasse di una cremazione. Anche lo scavatore avanzava la stessa ipotesi, ritenendo plausibile che, poiché i vasi del corredo emergevano in superficie, il cinerario fosse stato ritrovato e successivamente disperso. In assenza di ulteriori dati, si preferisce sospendere il giudizio.</w:t>
            </w:r>
          </w:p>
          <w:p w:rsidRPr="00642E3F" w:rsidR="001B5504" w:rsidP="682F780D" w:rsidRDefault="009C6D94" w14:paraId="66E8A271" w14:textId="7B896106">
            <w:pPr>
              <w:jc w:val="center"/>
              <w:rPr>
                <w:rFonts w:ascii="Titillium Web" w:hAnsi="Titillium Web"/>
              </w:rPr>
            </w:pPr>
            <w:r w:rsidRPr="682F780D" w:rsidR="59E9A2F1">
              <w:rPr>
                <w:rFonts w:ascii="Titillium Web" w:hAnsi="Titillium Web"/>
              </w:rPr>
              <w:t>Rispetto al corredo, nei registri risultano ricondotti alla tomba ulteriori cinque vasi, attici e di produzione locale in ceramica depurata</w:t>
            </w:r>
            <w:r w:rsidRPr="682F780D" w:rsidR="6E1F3C77">
              <w:rPr>
                <w:rFonts w:ascii="Titillium Web" w:hAnsi="Titillium Web"/>
              </w:rPr>
              <w:t xml:space="preserve"> e grigia</w:t>
            </w:r>
            <w:r w:rsidRPr="682F780D" w:rsidR="59E9A2F1">
              <w:rPr>
                <w:rFonts w:ascii="Titillium Web" w:hAnsi="Titillium Web"/>
              </w:rPr>
              <w:t>, verosimilmente attribuiti in un momento successivo.</w:t>
            </w:r>
          </w:p>
        </w:tc>
      </w:tr>
      <w:tr w:rsidRPr="00642E3F" w:rsidR="001B5504" w:rsidTr="682F780D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642E3F" w:rsidR="001B5504" w:rsidTr="682F780D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642E3F" w:rsidR="001B5504" w:rsidTr="682F780D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642E3F" w:rsidR="001B5504" w:rsidTr="682F780D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Pr="00642E3F" w:rsidR="001B5504" w:rsidTr="682F780D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Massei</w:t>
            </w:r>
            <w:r w:rsidRPr="00642E3F">
              <w:rPr>
                <w:rFonts w:ascii="Titillium Web" w:hAnsi="Titillium Web"/>
                <w:szCs w:val="24"/>
              </w:rPr>
              <w:t xml:space="preserve"> 1978, pp. 5-6; </w:t>
            </w:r>
            <w:r w:rsidRPr="00642E3F">
              <w:rPr>
                <w:rFonts w:ascii="Titillium Web" w:hAnsi="Titillium Web"/>
                <w:smallCaps/>
                <w:szCs w:val="24"/>
              </w:rPr>
              <w:t>Berti</w:t>
            </w:r>
            <w:r w:rsidRPr="00642E3F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Pr="00642E3F" w:rsidR="001B5504" w:rsidTr="682F780D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642E3F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42E3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642E3F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373C7"/>
    <w:rsid w:val="000D72F4"/>
    <w:rsid w:val="001230C8"/>
    <w:rsid w:val="001B5504"/>
    <w:rsid w:val="001F2833"/>
    <w:rsid w:val="0029024B"/>
    <w:rsid w:val="002977D7"/>
    <w:rsid w:val="002F1500"/>
    <w:rsid w:val="00392705"/>
    <w:rsid w:val="003C051E"/>
    <w:rsid w:val="00472AF4"/>
    <w:rsid w:val="005B5AFF"/>
    <w:rsid w:val="00642E3F"/>
    <w:rsid w:val="0068458A"/>
    <w:rsid w:val="00704806"/>
    <w:rsid w:val="00710B38"/>
    <w:rsid w:val="007145BC"/>
    <w:rsid w:val="007D54CD"/>
    <w:rsid w:val="00942E70"/>
    <w:rsid w:val="00943EAC"/>
    <w:rsid w:val="00950348"/>
    <w:rsid w:val="00975CA9"/>
    <w:rsid w:val="00997946"/>
    <w:rsid w:val="009C6D94"/>
    <w:rsid w:val="009E4922"/>
    <w:rsid w:val="00A219C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3076E"/>
    <w:rsid w:val="00FA7DFF"/>
    <w:rsid w:val="00FB2DA7"/>
    <w:rsid w:val="1DA05276"/>
    <w:rsid w:val="25C4734E"/>
    <w:rsid w:val="59E9A2F1"/>
    <w:rsid w:val="682F780D"/>
    <w:rsid w:val="6B420368"/>
    <w:rsid w:val="6E1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704806"/>
    <w:rPr>
      <w:color w:val="605E5C"/>
      <w:shd w:val="clear" w:color="auto" w:fill="E1DFDD"/>
    </w:rPr>
  </w:style>
  <w:style w:type="paragraph" w:styleId="Default" w:customStyle="1">
    <w:name w:val="Default"/>
    <w:rsid w:val="009C6D94"/>
    <w:pPr>
      <w:suppressAutoHyphens/>
      <w:autoSpaceDE w:val="0"/>
      <w:autoSpaceDN w:val="0"/>
      <w:spacing w:after="0"/>
      <w:jc w:val="left"/>
      <w:textAlignment w:val="baseline"/>
    </w:pPr>
    <w:rPr>
      <w:rFonts w:eastAsia="Calibri" w:cs="Times New Roman"/>
      <w:color w:val="00000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carc.ox.ac.uk/XDB/ASP/recordDetails.asp?id=%7b2795BEF2-18E0-4697-94E2-AE954AA0CDF8%7d&amp;noResults=1&amp;recordCount=1&amp;databaseID=%7b12FC52A7-0E32-4A81-9FFA-C8C6CF430677%7d&amp;search=%20%7bAND%7d%20240113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22</revision>
  <dcterms:created xsi:type="dcterms:W3CDTF">2026-04-28T14:33:00.0000000Z</dcterms:created>
  <dcterms:modified xsi:type="dcterms:W3CDTF">2026-05-17T06:04:13.9175472Z</dcterms:modified>
</coreProperties>
</file>