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270</w:t>
      </w:r>
    </w:p>
    <w:tbl>
      <w:tblPr>
        <w:tblStyle w:val="Grigliatabella"/>
        <w:tblW w:w="5000" w:type="pct"/>
        <w:jc w:val="center"/>
        <w:tblLook w:val="04A0" w:firstRow="1" w:lastRow="0" w:firstColumn="1" w:lastColumn="0" w:noHBand="0" w:noVBand="1"/>
      </w:tblPr>
      <w:tblGrid>
        <w:gridCol w:w="2990"/>
        <w:gridCol w:w="6070"/>
      </w:tblGrid>
      <w:tr w:rsidR="0086297F" w:rsidRPr="000878C4" w14:paraId="69604347" w14:textId="77777777" w:rsidTr="002665C6">
        <w:trPr>
          <w:jc w:val="center"/>
        </w:trPr>
        <w:tc>
          <w:tcPr>
            <w:tcW w:w="1650" w:type="pct"/>
            <w:vAlign w:val="center"/>
          </w:tcPr>
          <w:p w14:paraId="59258D49"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Anno di rinvenimento</w:t>
            </w:r>
          </w:p>
        </w:tc>
        <w:tc>
          <w:tcPr>
            <w:tcW w:w="3350" w:type="pct"/>
            <w:vAlign w:val="center"/>
          </w:tcPr>
          <w:p w14:paraId="10AA1E7C" w14:textId="59BFE2EE" w:rsidR="0086297F" w:rsidRPr="000878C4" w:rsidRDefault="0086297F" w:rsidP="002665C6">
            <w:pPr>
              <w:jc w:val="center"/>
              <w:rPr>
                <w:rFonts w:ascii="Titillium Web" w:hAnsi="Titillium Web"/>
                <w:szCs w:val="24"/>
              </w:rPr>
            </w:pPr>
            <w:r w:rsidRPr="000878C4">
              <w:rPr>
                <w:rFonts w:ascii="Titillium Web" w:hAnsi="Titillium Web"/>
                <w:szCs w:val="24"/>
              </w:rPr>
              <w:t>1924</w:t>
            </w:r>
          </w:p>
        </w:tc>
      </w:tr>
      <w:tr w:rsidR="0086297F" w:rsidRPr="000878C4" w14:paraId="3B6B9C62" w14:textId="77777777" w:rsidTr="002665C6">
        <w:trPr>
          <w:jc w:val="center"/>
        </w:trPr>
        <w:tc>
          <w:tcPr>
            <w:tcW w:w="1650" w:type="pct"/>
            <w:vAlign w:val="center"/>
          </w:tcPr>
          <w:p w14:paraId="2D01D888"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Stato di conservazione della tomba</w:t>
            </w:r>
          </w:p>
        </w:tc>
        <w:tc>
          <w:tcPr>
            <w:tcW w:w="3350" w:type="pct"/>
            <w:vAlign w:val="center"/>
          </w:tcPr>
          <w:p w14:paraId="3ADC95CD" w14:textId="31719CCD" w:rsidR="0086297F" w:rsidRPr="000878C4" w:rsidRDefault="0086297F" w:rsidP="002665C6">
            <w:pPr>
              <w:jc w:val="center"/>
              <w:rPr>
                <w:rFonts w:ascii="Titillium Web" w:hAnsi="Titillium Web"/>
                <w:szCs w:val="24"/>
              </w:rPr>
            </w:pPr>
            <w:r w:rsidRPr="000878C4">
              <w:rPr>
                <w:rFonts w:ascii="Titillium Web" w:hAnsi="Titillium Web"/>
                <w:szCs w:val="24"/>
              </w:rPr>
              <w:t>Sconvolta</w:t>
            </w:r>
          </w:p>
        </w:tc>
      </w:tr>
      <w:tr w:rsidR="0086297F" w:rsidRPr="000878C4" w14:paraId="3D165E1E" w14:textId="77777777" w:rsidTr="002665C6">
        <w:trPr>
          <w:jc w:val="center"/>
        </w:trPr>
        <w:tc>
          <w:tcPr>
            <w:tcW w:w="1650" w:type="pct"/>
            <w:vAlign w:val="center"/>
          </w:tcPr>
          <w:p w14:paraId="2A5B3D4F"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Rito di seppellimento</w:t>
            </w:r>
          </w:p>
        </w:tc>
        <w:tc>
          <w:tcPr>
            <w:tcW w:w="3350" w:type="pct"/>
            <w:vAlign w:val="center"/>
          </w:tcPr>
          <w:p w14:paraId="094BD426" w14:textId="6E99443A" w:rsidR="0086297F" w:rsidRPr="000878C4" w:rsidRDefault="0086297F" w:rsidP="002665C6">
            <w:pPr>
              <w:jc w:val="center"/>
              <w:rPr>
                <w:rFonts w:ascii="Titillium Web" w:hAnsi="Titillium Web"/>
                <w:szCs w:val="24"/>
              </w:rPr>
            </w:pPr>
            <w:r w:rsidRPr="000878C4">
              <w:rPr>
                <w:rFonts w:ascii="Titillium Web" w:hAnsi="Titillium Web"/>
                <w:szCs w:val="24"/>
              </w:rPr>
              <w:t>Inumazione</w:t>
            </w:r>
          </w:p>
        </w:tc>
      </w:tr>
      <w:tr w:rsidR="0086297F" w:rsidRPr="000878C4" w14:paraId="44CADBCB" w14:textId="77777777" w:rsidTr="002665C6">
        <w:trPr>
          <w:jc w:val="center"/>
        </w:trPr>
        <w:tc>
          <w:tcPr>
            <w:tcW w:w="1650" w:type="pct"/>
            <w:vAlign w:val="center"/>
          </w:tcPr>
          <w:p w14:paraId="1E25741A"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Struttura tomba</w:t>
            </w:r>
          </w:p>
        </w:tc>
        <w:tc>
          <w:tcPr>
            <w:tcW w:w="3350" w:type="pct"/>
            <w:vAlign w:val="center"/>
          </w:tcPr>
          <w:p w14:paraId="1DE3BCB3" w14:textId="08DB6A85" w:rsidR="0086297F" w:rsidRPr="000878C4" w:rsidRDefault="0086297F" w:rsidP="002665C6">
            <w:pPr>
              <w:jc w:val="center"/>
              <w:rPr>
                <w:rFonts w:ascii="Titillium Web" w:hAnsi="Titillium Web"/>
                <w:szCs w:val="24"/>
              </w:rPr>
            </w:pPr>
            <w:r w:rsidRPr="000878C4">
              <w:rPr>
                <w:rFonts w:ascii="Titillium Web" w:hAnsi="Titillium Web"/>
                <w:szCs w:val="24"/>
              </w:rPr>
              <w:t>fossa semplice, forma non registrata</w:t>
            </w:r>
          </w:p>
        </w:tc>
      </w:tr>
      <w:tr w:rsidR="0086297F" w:rsidRPr="000878C4" w14:paraId="47E1F943" w14:textId="77777777" w:rsidTr="002665C6">
        <w:trPr>
          <w:jc w:val="center"/>
        </w:trPr>
        <w:tc>
          <w:tcPr>
            <w:tcW w:w="1650" w:type="pct"/>
            <w:vAlign w:val="center"/>
          </w:tcPr>
          <w:p w14:paraId="355EE080"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 xml:space="preserve">Profondità dal piano di campagna </w:t>
            </w:r>
          </w:p>
        </w:tc>
        <w:tc>
          <w:tcPr>
            <w:tcW w:w="3350" w:type="pct"/>
            <w:vAlign w:val="center"/>
          </w:tcPr>
          <w:p w14:paraId="13D75B9B" w14:textId="6492371F" w:rsidR="0086297F" w:rsidRPr="000878C4" w:rsidRDefault="0086297F" w:rsidP="002665C6">
            <w:pPr>
              <w:jc w:val="center"/>
              <w:rPr>
                <w:rFonts w:ascii="Titillium Web" w:hAnsi="Titillium Web"/>
                <w:szCs w:val="24"/>
              </w:rPr>
            </w:pPr>
            <w:r w:rsidRPr="000878C4">
              <w:rPr>
                <w:rFonts w:ascii="Titillium Web" w:hAnsi="Titillium Web"/>
                <w:szCs w:val="24"/>
              </w:rPr>
              <w:t>1,15 m</w:t>
            </w:r>
          </w:p>
        </w:tc>
      </w:tr>
      <w:tr w:rsidR="0086297F" w:rsidRPr="000878C4" w14:paraId="75BC79FE" w14:textId="77777777" w:rsidTr="002665C6">
        <w:trPr>
          <w:jc w:val="center"/>
        </w:trPr>
        <w:tc>
          <w:tcPr>
            <w:tcW w:w="1650" w:type="pct"/>
            <w:vAlign w:val="center"/>
          </w:tcPr>
          <w:p w14:paraId="432462C5"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Dimensioni della sepoltura</w:t>
            </w:r>
          </w:p>
        </w:tc>
        <w:tc>
          <w:tcPr>
            <w:tcW w:w="3350" w:type="pct"/>
            <w:vAlign w:val="center"/>
          </w:tcPr>
          <w:p w14:paraId="65EDFAD4" w14:textId="5859930D" w:rsidR="0086297F" w:rsidRPr="000878C4" w:rsidRDefault="0086297F" w:rsidP="002665C6">
            <w:pPr>
              <w:jc w:val="center"/>
              <w:rPr>
                <w:rFonts w:ascii="Titillium Web" w:hAnsi="Titillium Web"/>
                <w:szCs w:val="24"/>
              </w:rPr>
            </w:pPr>
            <w:r w:rsidRPr="000878C4">
              <w:rPr>
                <w:rFonts w:ascii="Titillium Web" w:hAnsi="Titillium Web"/>
                <w:szCs w:val="24"/>
              </w:rPr>
              <w:t>Dimensioni non registrate</w:t>
            </w:r>
          </w:p>
        </w:tc>
      </w:tr>
      <w:tr w:rsidR="0086297F" w:rsidRPr="000878C4" w14:paraId="35E5C09E" w14:textId="77777777" w:rsidTr="002665C6">
        <w:trPr>
          <w:jc w:val="center"/>
        </w:trPr>
        <w:tc>
          <w:tcPr>
            <w:tcW w:w="1650" w:type="pct"/>
            <w:vAlign w:val="center"/>
          </w:tcPr>
          <w:p w14:paraId="5AA10374"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Orientamento dello scheletro</w:t>
            </w:r>
          </w:p>
        </w:tc>
        <w:tc>
          <w:tcPr>
            <w:tcW w:w="3350" w:type="pct"/>
            <w:vAlign w:val="center"/>
          </w:tcPr>
          <w:p w14:paraId="6E0E4E7B" w14:textId="7F6B3E0C" w:rsidR="0086297F" w:rsidRPr="000878C4" w:rsidRDefault="0086297F" w:rsidP="002665C6">
            <w:pPr>
              <w:jc w:val="center"/>
              <w:rPr>
                <w:rFonts w:ascii="Titillium Web" w:hAnsi="Titillium Web"/>
                <w:szCs w:val="24"/>
              </w:rPr>
            </w:pPr>
            <w:r w:rsidRPr="000878C4">
              <w:rPr>
                <w:rFonts w:ascii="Titillium Web" w:hAnsi="Titillium Web"/>
                <w:szCs w:val="24"/>
              </w:rPr>
              <w:t>NNW-SSE</w:t>
            </w:r>
          </w:p>
        </w:tc>
      </w:tr>
      <w:tr w:rsidR="0086297F" w:rsidRPr="000878C4" w14:paraId="71236441" w14:textId="77777777" w:rsidTr="002665C6">
        <w:trPr>
          <w:jc w:val="center"/>
        </w:trPr>
        <w:tc>
          <w:tcPr>
            <w:tcW w:w="1650" w:type="pct"/>
            <w:vAlign w:val="center"/>
          </w:tcPr>
          <w:p w14:paraId="4A1B31A8"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Segnacolo</w:t>
            </w:r>
          </w:p>
        </w:tc>
        <w:tc>
          <w:tcPr>
            <w:tcW w:w="3350" w:type="pct"/>
            <w:vAlign w:val="center"/>
          </w:tcPr>
          <w:p w14:paraId="104CE615" w14:textId="50385AE1" w:rsidR="0086297F" w:rsidRPr="000878C4" w:rsidRDefault="0086297F" w:rsidP="002665C6">
            <w:pPr>
              <w:jc w:val="center"/>
              <w:rPr>
                <w:rFonts w:ascii="Titillium Web" w:hAnsi="Titillium Web"/>
                <w:szCs w:val="24"/>
              </w:rPr>
            </w:pPr>
            <w:r w:rsidRPr="000878C4">
              <w:rPr>
                <w:rFonts w:ascii="Titillium Web" w:hAnsi="Titillium Web"/>
                <w:szCs w:val="24"/>
              </w:rPr>
              <w:t>/</w:t>
            </w:r>
          </w:p>
        </w:tc>
      </w:tr>
      <w:tr w:rsidR="0086297F" w:rsidRPr="000878C4" w14:paraId="6D6CBA71" w14:textId="77777777" w:rsidTr="002665C6">
        <w:trPr>
          <w:jc w:val="center"/>
        </w:trPr>
        <w:tc>
          <w:tcPr>
            <w:tcW w:w="1650" w:type="pct"/>
            <w:vAlign w:val="center"/>
          </w:tcPr>
          <w:p w14:paraId="75CA0D64"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Giornale di scavo</w:t>
            </w:r>
          </w:p>
        </w:tc>
        <w:tc>
          <w:tcPr>
            <w:tcW w:w="3350" w:type="pct"/>
            <w:vAlign w:val="center"/>
          </w:tcPr>
          <w:p w14:paraId="37BA07DE" w14:textId="77777777" w:rsidR="00871678" w:rsidRPr="000878C4" w:rsidRDefault="001C2F2D">
            <w:pPr>
              <w:rPr>
                <w:rFonts w:ascii="Titillium Web" w:hAnsi="Titillium Web"/>
                <w:i/>
                <w:iCs/>
                <w:szCs w:val="24"/>
              </w:rPr>
            </w:pPr>
            <w:r w:rsidRPr="000878C4">
              <w:rPr>
                <w:rFonts w:ascii="Titillium Web" w:hAnsi="Titillium Web"/>
                <w:i/>
                <w:iCs/>
                <w:szCs w:val="24"/>
              </w:rPr>
              <w:t>Tomba 270 a umazione.</w:t>
            </w:r>
          </w:p>
          <w:p w14:paraId="76CCA55D" w14:textId="77777777" w:rsidR="00871678" w:rsidRPr="000878C4" w:rsidRDefault="001C2F2D">
            <w:pPr>
              <w:rPr>
                <w:rFonts w:ascii="Titillium Web" w:hAnsi="Titillium Web"/>
                <w:i/>
                <w:iCs/>
                <w:szCs w:val="24"/>
              </w:rPr>
            </w:pPr>
            <w:r w:rsidRPr="000878C4">
              <w:rPr>
                <w:rFonts w:ascii="Titillium Web" w:hAnsi="Titillium Web"/>
                <w:i/>
                <w:iCs/>
                <w:szCs w:val="24"/>
              </w:rPr>
              <w:t>Anche questa tomba si trova nella parte di levante dello scavo ove il terreno ha una depressione perché doveva esservi un canale. Gli strati della sabbia pur mantenendosi regolari sono duri di color nerastro, caratteristica dei terreni paludosi - Nell’epoca antica debbono avere sepolto i loro morti in questo canale già prosciugato -</w:t>
            </w:r>
          </w:p>
          <w:p w14:paraId="23F0D932" w14:textId="77777777" w:rsidR="00871678" w:rsidRPr="000878C4" w:rsidRDefault="001C2F2D">
            <w:pPr>
              <w:rPr>
                <w:rFonts w:ascii="Titillium Web" w:hAnsi="Titillium Web"/>
                <w:i/>
                <w:iCs/>
                <w:szCs w:val="24"/>
              </w:rPr>
            </w:pPr>
            <w:r w:rsidRPr="000878C4">
              <w:rPr>
                <w:rFonts w:ascii="Titillium Web" w:hAnsi="Titillium Web"/>
                <w:i/>
                <w:iCs/>
                <w:szCs w:val="24"/>
              </w:rPr>
              <w:t>A m. 4 a lev. della precedente e a m. 1.15 di prof.tà si rinviene uno scheletro scomposto, le ossa delle gambe sono presso la testa.</w:t>
            </w:r>
          </w:p>
          <w:p w14:paraId="69C9291B" w14:textId="77777777" w:rsidR="00871678" w:rsidRPr="000878C4" w:rsidRDefault="001C2F2D">
            <w:pPr>
              <w:rPr>
                <w:rFonts w:ascii="Titillium Web" w:hAnsi="Titillium Web"/>
                <w:i/>
                <w:iCs/>
                <w:szCs w:val="24"/>
              </w:rPr>
            </w:pPr>
            <w:r w:rsidRPr="000878C4">
              <w:rPr>
                <w:rFonts w:ascii="Titillium Web" w:hAnsi="Titillium Web"/>
                <w:i/>
                <w:iCs/>
                <w:szCs w:val="24"/>
              </w:rPr>
              <w:t xml:space="preserve">A destra dello scheletro, che con la testa e con le braccia mantiene l’orientazione di N-N-O </w:t>
            </w:r>
            <w:proofErr w:type="gramStart"/>
            <w:r w:rsidRPr="000878C4">
              <w:rPr>
                <w:rFonts w:ascii="Titillium Web" w:hAnsi="Titillium Web"/>
                <w:i/>
                <w:iCs/>
                <w:szCs w:val="24"/>
              </w:rPr>
              <w:t>SS.E</w:t>
            </w:r>
            <w:proofErr w:type="gramEnd"/>
            <w:r w:rsidRPr="000878C4">
              <w:rPr>
                <w:rFonts w:ascii="Titillium Web" w:hAnsi="Titillium Web"/>
                <w:i/>
                <w:iCs/>
                <w:szCs w:val="24"/>
              </w:rPr>
              <w:t>-, in un gruppo si rinvengono:</w:t>
            </w:r>
          </w:p>
          <w:p w14:paraId="653AD7C2" w14:textId="77777777" w:rsidR="00871678" w:rsidRPr="000878C4" w:rsidRDefault="001C2F2D">
            <w:pPr>
              <w:rPr>
                <w:rFonts w:ascii="Titillium Web" w:hAnsi="Titillium Web"/>
                <w:i/>
                <w:iCs/>
                <w:szCs w:val="24"/>
              </w:rPr>
            </w:pPr>
            <w:r w:rsidRPr="000878C4">
              <w:rPr>
                <w:rFonts w:ascii="Titillium Web" w:hAnsi="Titillium Web"/>
                <w:i/>
                <w:iCs/>
                <w:szCs w:val="24"/>
              </w:rPr>
              <w:t>2 skyfos a ver. n. ordinaria, a due anse orrizontali - interi - alti 0,17</w:t>
            </w:r>
          </w:p>
          <w:p w14:paraId="1D741D59" w14:textId="77777777" w:rsidR="00871678" w:rsidRPr="000878C4" w:rsidRDefault="001C2F2D">
            <w:pPr>
              <w:rPr>
                <w:rFonts w:ascii="Titillium Web" w:hAnsi="Titillium Web"/>
                <w:i/>
                <w:iCs/>
                <w:szCs w:val="24"/>
              </w:rPr>
            </w:pPr>
            <w:r w:rsidRPr="000878C4">
              <w:rPr>
                <w:rFonts w:ascii="Titillium Web" w:hAnsi="Titillium Web"/>
                <w:i/>
                <w:iCs/>
                <w:szCs w:val="24"/>
              </w:rPr>
              <w:t>1 oinocoe a forma di fiasca, a bocca trilobata e ansa verticale, a ver nera scadentissima con disegno di palmette e un testone -</w:t>
            </w:r>
          </w:p>
          <w:p w14:paraId="0A969A14" w14:textId="77777777" w:rsidR="00871678" w:rsidRPr="000878C4" w:rsidRDefault="001C2F2D">
            <w:pPr>
              <w:rPr>
                <w:rFonts w:ascii="Titillium Web" w:hAnsi="Titillium Web"/>
                <w:i/>
                <w:iCs/>
                <w:szCs w:val="24"/>
              </w:rPr>
            </w:pPr>
            <w:r w:rsidRPr="000878C4">
              <w:rPr>
                <w:rFonts w:ascii="Titillium Web" w:hAnsi="Titillium Web"/>
                <w:i/>
                <w:iCs/>
                <w:szCs w:val="24"/>
              </w:rPr>
              <w:t>Il disegno è molto consumato - intero alto 0,25</w:t>
            </w:r>
          </w:p>
          <w:p w14:paraId="4EA1B453" w14:textId="77777777" w:rsidR="00871678" w:rsidRPr="000878C4" w:rsidRDefault="001C2F2D">
            <w:pPr>
              <w:rPr>
                <w:rFonts w:ascii="Titillium Web" w:hAnsi="Titillium Web"/>
                <w:i/>
                <w:iCs/>
                <w:szCs w:val="24"/>
              </w:rPr>
            </w:pPr>
            <w:r w:rsidRPr="000878C4">
              <w:rPr>
                <w:rFonts w:ascii="Titillium Web" w:hAnsi="Titillium Web"/>
                <w:i/>
                <w:iCs/>
                <w:szCs w:val="24"/>
              </w:rPr>
              <w:t>1 tazza a ver. n., a due anse orrizontali, con striature nel centro - intera - diam. 0,12 -</w:t>
            </w:r>
          </w:p>
          <w:p w14:paraId="2C8FC3CC" w14:textId="77777777" w:rsidR="00871678" w:rsidRPr="000878C4" w:rsidRDefault="001C2F2D">
            <w:pPr>
              <w:rPr>
                <w:rFonts w:ascii="Titillium Web" w:hAnsi="Titillium Web"/>
                <w:i/>
                <w:iCs/>
                <w:szCs w:val="24"/>
              </w:rPr>
            </w:pPr>
            <w:proofErr w:type="gramStart"/>
            <w:r w:rsidRPr="000878C4">
              <w:rPr>
                <w:rFonts w:ascii="Titillium Web" w:hAnsi="Titillium Web"/>
                <w:i/>
                <w:iCs/>
                <w:szCs w:val="24"/>
              </w:rPr>
              <w:t>3</w:t>
            </w:r>
            <w:proofErr w:type="gramEnd"/>
            <w:r w:rsidRPr="000878C4">
              <w:rPr>
                <w:rFonts w:ascii="Titillium Web" w:hAnsi="Titillium Web"/>
                <w:i/>
                <w:iCs/>
                <w:szCs w:val="24"/>
              </w:rPr>
              <w:t xml:space="preserve"> scodelle a ver. n., intere, diam. 0,14-0,15-0,16 (una ha palmette impresse e sigla graffita -</w:t>
            </w:r>
          </w:p>
          <w:p w14:paraId="22573550" w14:textId="77777777" w:rsidR="00871678" w:rsidRPr="000878C4" w:rsidRDefault="001C2F2D">
            <w:pPr>
              <w:rPr>
                <w:rFonts w:ascii="Titillium Web" w:hAnsi="Titillium Web"/>
                <w:i/>
                <w:iCs/>
                <w:szCs w:val="24"/>
              </w:rPr>
            </w:pPr>
            <w:r w:rsidRPr="000878C4">
              <w:rPr>
                <w:rFonts w:ascii="Titillium Web" w:hAnsi="Titillium Web"/>
                <w:i/>
                <w:iCs/>
                <w:szCs w:val="24"/>
              </w:rPr>
              <w:t>1 altra scodella idem - diam. 0,145</w:t>
            </w:r>
          </w:p>
          <w:p w14:paraId="06A50D7E" w14:textId="77777777" w:rsidR="00871678" w:rsidRPr="000878C4" w:rsidRDefault="001C2F2D">
            <w:pPr>
              <w:rPr>
                <w:rFonts w:ascii="Titillium Web" w:hAnsi="Titillium Web"/>
                <w:i/>
                <w:iCs/>
                <w:szCs w:val="24"/>
              </w:rPr>
            </w:pPr>
            <w:r w:rsidRPr="000878C4">
              <w:rPr>
                <w:rFonts w:ascii="Titillium Web" w:hAnsi="Titillium Web"/>
                <w:i/>
                <w:iCs/>
                <w:szCs w:val="24"/>
              </w:rPr>
              <w:lastRenderedPageBreak/>
              <w:t>1 piatto (che copriva uno degli skyfos); è a vernice nera - diam. 0,17 intero.</w:t>
            </w:r>
          </w:p>
          <w:p w14:paraId="05033C92" w14:textId="77777777" w:rsidR="00871678" w:rsidRPr="000878C4" w:rsidRDefault="001C2F2D">
            <w:pPr>
              <w:rPr>
                <w:rFonts w:ascii="Titillium Web" w:hAnsi="Titillium Web"/>
                <w:i/>
                <w:iCs/>
                <w:szCs w:val="24"/>
              </w:rPr>
            </w:pPr>
            <w:r w:rsidRPr="000878C4">
              <w:rPr>
                <w:rFonts w:ascii="Titillium Web" w:hAnsi="Titillium Web"/>
                <w:i/>
                <w:iCs/>
                <w:szCs w:val="24"/>
              </w:rPr>
              <w:t>1 piatto con cavetto sul centro; a ver. nera scadente - intero diam. 0,18 –</w:t>
            </w:r>
          </w:p>
        </w:tc>
      </w:tr>
      <w:tr w:rsidR="0086297F" w:rsidRPr="000878C4" w14:paraId="1429C2F3" w14:textId="77777777" w:rsidTr="002665C6">
        <w:trPr>
          <w:jc w:val="center"/>
        </w:trPr>
        <w:tc>
          <w:tcPr>
            <w:tcW w:w="1650" w:type="pct"/>
            <w:vAlign w:val="center"/>
          </w:tcPr>
          <w:p w14:paraId="7F398080"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lastRenderedPageBreak/>
              <w:t>Posizione del corredo</w:t>
            </w:r>
          </w:p>
        </w:tc>
        <w:tc>
          <w:tcPr>
            <w:tcW w:w="3350" w:type="pct"/>
            <w:vAlign w:val="center"/>
          </w:tcPr>
          <w:p w14:paraId="5C03ADA7" w14:textId="7BF3AD8D" w:rsidR="0086297F" w:rsidRPr="000878C4" w:rsidRDefault="0086297F" w:rsidP="002665C6">
            <w:pPr>
              <w:jc w:val="center"/>
              <w:rPr>
                <w:rFonts w:ascii="Titillium Web" w:hAnsi="Titillium Web"/>
                <w:szCs w:val="24"/>
              </w:rPr>
            </w:pPr>
            <w:r w:rsidRPr="000878C4">
              <w:rPr>
                <w:rFonts w:ascii="Titillium Web" w:hAnsi="Titillium Web"/>
                <w:szCs w:val="24"/>
              </w:rPr>
              <w:t>Fianco destro</w:t>
            </w:r>
          </w:p>
        </w:tc>
      </w:tr>
      <w:tr w:rsidR="0086297F" w:rsidRPr="000878C4" w14:paraId="71A0E4AF" w14:textId="77777777" w:rsidTr="002665C6">
        <w:trPr>
          <w:jc w:val="center"/>
        </w:trPr>
        <w:tc>
          <w:tcPr>
            <w:tcW w:w="1650" w:type="pct"/>
            <w:vAlign w:val="center"/>
          </w:tcPr>
          <w:p w14:paraId="2128B19B"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Genere (legato all’analisi del corredo)</w:t>
            </w:r>
          </w:p>
        </w:tc>
        <w:tc>
          <w:tcPr>
            <w:tcW w:w="3350" w:type="pct"/>
            <w:vAlign w:val="center"/>
          </w:tcPr>
          <w:p w14:paraId="31324C2B" w14:textId="4E55E405" w:rsidR="0086297F" w:rsidRPr="000878C4" w:rsidRDefault="0086297F" w:rsidP="002665C6">
            <w:pPr>
              <w:jc w:val="center"/>
              <w:rPr>
                <w:rFonts w:ascii="Titillium Web" w:hAnsi="Titillium Web"/>
                <w:szCs w:val="24"/>
              </w:rPr>
            </w:pPr>
            <w:r w:rsidRPr="000878C4">
              <w:rPr>
                <w:rFonts w:ascii="Titillium Web" w:hAnsi="Titillium Web"/>
                <w:szCs w:val="24"/>
              </w:rPr>
              <w:t>Non determinabile</w:t>
            </w:r>
          </w:p>
        </w:tc>
      </w:tr>
      <w:tr w:rsidR="0086297F" w:rsidRPr="000878C4" w14:paraId="17633947" w14:textId="77777777" w:rsidTr="002665C6">
        <w:trPr>
          <w:jc w:val="center"/>
        </w:trPr>
        <w:tc>
          <w:tcPr>
            <w:tcW w:w="1650" w:type="pct"/>
            <w:vAlign w:val="center"/>
          </w:tcPr>
          <w:p w14:paraId="44721053"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Sesso (legato alle analisi antropologiche)</w:t>
            </w:r>
          </w:p>
        </w:tc>
        <w:tc>
          <w:tcPr>
            <w:tcW w:w="3350" w:type="pct"/>
            <w:vAlign w:val="center"/>
          </w:tcPr>
          <w:p w14:paraId="66E918A4" w14:textId="50197FF0" w:rsidR="0086297F" w:rsidRPr="000878C4" w:rsidRDefault="0086297F" w:rsidP="002665C6">
            <w:pPr>
              <w:jc w:val="center"/>
              <w:rPr>
                <w:rFonts w:ascii="Titillium Web" w:hAnsi="Titillium Web"/>
                <w:szCs w:val="24"/>
              </w:rPr>
            </w:pPr>
            <w:r w:rsidRPr="000878C4">
              <w:rPr>
                <w:rFonts w:ascii="Titillium Web" w:hAnsi="Titillium Web"/>
                <w:szCs w:val="24"/>
              </w:rPr>
              <w:t>Non determinabile</w:t>
            </w:r>
          </w:p>
        </w:tc>
      </w:tr>
      <w:tr w:rsidR="0086297F" w:rsidRPr="000878C4" w14:paraId="0588946D" w14:textId="77777777" w:rsidTr="002665C6">
        <w:trPr>
          <w:jc w:val="center"/>
        </w:trPr>
        <w:tc>
          <w:tcPr>
            <w:tcW w:w="1650" w:type="pct"/>
            <w:vAlign w:val="center"/>
          </w:tcPr>
          <w:p w14:paraId="54990945"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Classi di età</w:t>
            </w:r>
          </w:p>
        </w:tc>
        <w:tc>
          <w:tcPr>
            <w:tcW w:w="3350" w:type="pct"/>
            <w:vAlign w:val="center"/>
          </w:tcPr>
          <w:p w14:paraId="0E0589EA" w14:textId="7D4DF825" w:rsidR="0086297F" w:rsidRPr="000878C4" w:rsidRDefault="0086297F" w:rsidP="002665C6">
            <w:pPr>
              <w:jc w:val="center"/>
              <w:rPr>
                <w:rFonts w:ascii="Titillium Web" w:hAnsi="Titillium Web"/>
                <w:szCs w:val="24"/>
              </w:rPr>
            </w:pPr>
            <w:r w:rsidRPr="000878C4">
              <w:rPr>
                <w:rFonts w:ascii="Titillium Web" w:hAnsi="Titillium Web"/>
                <w:szCs w:val="24"/>
              </w:rPr>
              <w:t>Non determinabile</w:t>
            </w:r>
          </w:p>
        </w:tc>
      </w:tr>
      <w:tr w:rsidR="0086297F" w:rsidRPr="000878C4" w14:paraId="1FFA88A1" w14:textId="77777777" w:rsidTr="002665C6">
        <w:trPr>
          <w:jc w:val="center"/>
        </w:trPr>
        <w:tc>
          <w:tcPr>
            <w:tcW w:w="1650" w:type="pct"/>
            <w:vAlign w:val="center"/>
          </w:tcPr>
          <w:p w14:paraId="63B2D8D6" w14:textId="77777777" w:rsidR="0086297F" w:rsidRPr="000878C4" w:rsidRDefault="0086297F" w:rsidP="002665C6">
            <w:pPr>
              <w:jc w:val="center"/>
              <w:rPr>
                <w:rFonts w:ascii="Titillium Web" w:hAnsi="Titillium Web"/>
                <w:smallCaps/>
                <w:szCs w:val="24"/>
              </w:rPr>
            </w:pPr>
            <w:r w:rsidRPr="000878C4">
              <w:rPr>
                <w:rFonts w:ascii="Titillium Web" w:hAnsi="Titillium Web"/>
                <w:smallCaps/>
                <w:szCs w:val="24"/>
              </w:rPr>
              <w:t>Bibliografia essenziale</w:t>
            </w:r>
          </w:p>
        </w:tc>
        <w:tc>
          <w:tcPr>
            <w:tcW w:w="3350" w:type="pct"/>
            <w:vAlign w:val="center"/>
          </w:tcPr>
          <w:p w14:paraId="68375D71" w14:textId="77777777" w:rsidR="00871678" w:rsidRPr="000878C4" w:rsidRDefault="001C2F2D" w:rsidP="000878C4">
            <w:pPr>
              <w:jc w:val="center"/>
              <w:rPr>
                <w:rFonts w:ascii="Titillium Web" w:hAnsi="Titillium Web"/>
                <w:szCs w:val="24"/>
              </w:rPr>
            </w:pPr>
            <w:r w:rsidRPr="000878C4">
              <w:rPr>
                <w:rFonts w:ascii="Titillium Web" w:eastAsia="Titillium" w:hAnsi="Titillium Web" w:cs="Titillium"/>
                <w:smallCaps/>
                <w:szCs w:val="24"/>
              </w:rPr>
              <w:t>Gaucci</w:t>
            </w:r>
            <w:r w:rsidRPr="000878C4">
              <w:rPr>
                <w:rFonts w:ascii="Titillium Web" w:eastAsia="Titillium" w:hAnsi="Titillium Web" w:cs="Titillium"/>
                <w:szCs w:val="24"/>
              </w:rPr>
              <w:t xml:space="preserve"> 2014</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878C4"/>
    <w:rsid w:val="000D72F4"/>
    <w:rsid w:val="001C17CC"/>
    <w:rsid w:val="002977D7"/>
    <w:rsid w:val="00472AF4"/>
    <w:rsid w:val="00551AF8"/>
    <w:rsid w:val="005B5AFF"/>
    <w:rsid w:val="006162A4"/>
    <w:rsid w:val="006346F7"/>
    <w:rsid w:val="006D6EFB"/>
    <w:rsid w:val="007145BC"/>
    <w:rsid w:val="0086297F"/>
    <w:rsid w:val="00871678"/>
    <w:rsid w:val="009E4922"/>
    <w:rsid w:val="00AB321D"/>
    <w:rsid w:val="00B165C4"/>
    <w:rsid w:val="00C21EE0"/>
    <w:rsid w:val="00D900AB"/>
    <w:rsid w:val="00D936E8"/>
    <w:rsid w:val="00E24633"/>
    <w:rsid w:val="00E7209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2026-05-18T10:00:00Z</dcterms:modified>
</cp:coreProperties>
</file>