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D0C6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7D0C6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D0C6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7D0C6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D0C6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7D0C6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D0C6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49EFAE7C" w:rsidR="0086297F" w:rsidRPr="007D0C63" w:rsidRDefault="007D0C63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0C6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0C6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CB6E51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Tomba 273 (devastata)</w:t>
            </w:r>
          </w:p>
          <w:p w14:paraId="2853ED46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(senza scheletro e senza ossuario)</w:t>
            </w:r>
          </w:p>
          <w:p w14:paraId="36C253B9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a m. 2,50 a lev. della 271, a m. 0,40 di prof.tà si rinviene una tomba devastata.</w:t>
            </w:r>
          </w:p>
          <w:p w14:paraId="5812AA03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È nella sabbia alluvionale.</w:t>
            </w:r>
          </w:p>
          <w:p w14:paraId="5F110BB5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Si rinvengono sconvolti per un raggio di m. 1,50 i seguenti fittili:</w:t>
            </w:r>
          </w:p>
          <w:p w14:paraId="2BFAF7B2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1 oinocoe di terra giallo chiara, frammentato nella bocca e nell’ansa, con disegni a tinta bruna scura di un festone a palmette. alto 0,23.</w:t>
            </w:r>
          </w:p>
          <w:p w14:paraId="55FD3271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1 vaso a bicchiere, a ver. n., di argilla grossolana scadentissima, con due anse verticali - alto 0,14</w:t>
            </w:r>
          </w:p>
          <w:p w14:paraId="6D84FD87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1 oinocoe piccolo a vern. nera, a bocca trilobata e intero, alto 0,12.</w:t>
            </w:r>
          </w:p>
          <w:p w14:paraId="21FF1423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5 terrecotte figurate a basso rilievo eguali a quelle rinvenute nelle tombe n.° 10-24-101-116 - alto 0,12</w:t>
            </w:r>
          </w:p>
          <w:p w14:paraId="51B4525D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2 skyfos a ver. n. scadente, piccoli, in frammenti.</w:t>
            </w:r>
          </w:p>
          <w:p w14:paraId="0DC896D9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1 scodella a ver. n., con gusci di uova, intera</w:t>
            </w:r>
          </w:p>
          <w:p w14:paraId="634FCD3C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0C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D0C63">
              <w:rPr>
                <w:rFonts w:ascii="Titillium Web" w:hAnsi="Titillium Web"/>
                <w:i/>
                <w:iCs/>
                <w:szCs w:val="24"/>
              </w:rPr>
              <w:t xml:space="preserve"> piattelli a ver. n., piccoli, uno con entro ossa di animali - interi</w:t>
            </w:r>
          </w:p>
          <w:p w14:paraId="07815ECD" w14:textId="77777777" w:rsidR="0028778A" w:rsidRPr="007D0C63" w:rsidRDefault="007172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0C63">
              <w:rPr>
                <w:rFonts w:ascii="Titillium Web" w:hAnsi="Titillium Web"/>
                <w:i/>
                <w:iCs/>
                <w:szCs w:val="24"/>
              </w:rPr>
              <w:t>e altri frammenti –</w:t>
            </w:r>
          </w:p>
        </w:tc>
      </w:tr>
      <w:tr w:rsidR="0086297F" w:rsidRPr="007D0C6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7D0C6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D0C63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D0C6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0C6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D0C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D0C63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7D0C6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D0C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0C63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091E9673" w14:textId="77777777" w:rsidR="0028778A" w:rsidRPr="007D0C63" w:rsidRDefault="007172D5" w:rsidP="007D0C63">
            <w:pPr>
              <w:jc w:val="center"/>
              <w:rPr>
                <w:rFonts w:ascii="Titillium Web" w:hAnsi="Titillium Web"/>
                <w:szCs w:val="24"/>
              </w:rPr>
            </w:pPr>
            <w:r w:rsidRPr="007D0C6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D0C63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7D0C6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D0C63">
              <w:rPr>
                <w:rFonts w:ascii="Titillium Web" w:eastAsia="Titillium" w:hAnsi="Titillium Web" w:cs="Titillium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2BA6"/>
    <w:rsid w:val="0028778A"/>
    <w:rsid w:val="002977D7"/>
    <w:rsid w:val="00472AF4"/>
    <w:rsid w:val="00551AF8"/>
    <w:rsid w:val="005B5AFF"/>
    <w:rsid w:val="006162A4"/>
    <w:rsid w:val="006346F7"/>
    <w:rsid w:val="006D6EFB"/>
    <w:rsid w:val="007145BC"/>
    <w:rsid w:val="007D0C63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2026-05-18T10:02:00Z</dcterms:modified>
</cp:coreProperties>
</file>