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E18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E18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E18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E18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E18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BE18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E18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18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E18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CC82EA9" w14:textId="77777777" w:rsidR="00286DD4" w:rsidRPr="00BE1829" w:rsidRDefault="00B219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829">
              <w:rPr>
                <w:rFonts w:ascii="Titillium Web" w:hAnsi="Titillium Web"/>
                <w:i/>
                <w:iCs/>
                <w:szCs w:val="24"/>
              </w:rPr>
              <w:t>Tomba 280 - a cremazione -</w:t>
            </w:r>
          </w:p>
          <w:p w14:paraId="16B2D8BF" w14:textId="77777777" w:rsidR="00286DD4" w:rsidRPr="00BE1829" w:rsidRDefault="00B219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829">
              <w:rPr>
                <w:rFonts w:ascii="Titillium Web" w:hAnsi="Titillium Web"/>
                <w:i/>
                <w:iCs/>
                <w:szCs w:val="24"/>
              </w:rPr>
              <w:t>A m. 9,40 dal limite Sud... e a m. 13 dallo scolo B; a m. 1,10 di profondità, poggiava:</w:t>
            </w:r>
          </w:p>
          <w:p w14:paraId="6631D893" w14:textId="77777777" w:rsidR="00286DD4" w:rsidRPr="00BE1829" w:rsidRDefault="00B219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829">
              <w:rPr>
                <w:rFonts w:ascii="Titillium Web" w:hAnsi="Titillium Web"/>
                <w:i/>
                <w:iCs/>
                <w:szCs w:val="24"/>
              </w:rPr>
              <w:t>1 dolietto ovoidale, intero, di argilla grossolana e male cotto, con due cordoni incavati sulla spalla e un cordone rilevato presso il fondo è alto 0,42 -</w:t>
            </w:r>
          </w:p>
          <w:p w14:paraId="214E5A4B" w14:textId="77777777" w:rsidR="00286DD4" w:rsidRPr="00BE1829" w:rsidRDefault="00B219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829">
              <w:rPr>
                <w:rFonts w:ascii="Titillium Web" w:hAnsi="Titillium Web"/>
                <w:i/>
                <w:iCs/>
                <w:szCs w:val="24"/>
              </w:rPr>
              <w:t>Non conteneva che le ceneri combuste</w:t>
            </w:r>
          </w:p>
          <w:p w14:paraId="55EAAF62" w14:textId="77777777" w:rsidR="00286DD4" w:rsidRPr="00BE1829" w:rsidRDefault="00B219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829">
              <w:rPr>
                <w:rFonts w:ascii="Titillium Web" w:hAnsi="Titillium Web"/>
                <w:i/>
                <w:iCs/>
                <w:szCs w:val="24"/>
              </w:rPr>
              <w:t>Li presso era</w:t>
            </w:r>
          </w:p>
          <w:p w14:paraId="27572F06" w14:textId="77777777" w:rsidR="00286DD4" w:rsidRPr="00BE1829" w:rsidRDefault="00B219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E1829">
              <w:rPr>
                <w:rFonts w:ascii="Titillium Web" w:hAnsi="Titillium Web"/>
                <w:i/>
                <w:iCs/>
                <w:szCs w:val="24"/>
              </w:rPr>
              <w:t>1 piattello di argilla giallognola, grezzo.</w:t>
            </w:r>
          </w:p>
        </w:tc>
      </w:tr>
      <w:tr w:rsidR="0086297F" w:rsidRPr="00BE18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BE18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18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18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E18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E18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E18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E18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B3CCA6" w14:textId="77777777" w:rsidR="00286DD4" w:rsidRPr="00BE1829" w:rsidRDefault="00B2194A" w:rsidP="00BE1829">
            <w:pPr>
              <w:jc w:val="center"/>
              <w:rPr>
                <w:rFonts w:ascii="Titillium Web" w:hAnsi="Titillium Web"/>
                <w:szCs w:val="24"/>
              </w:rPr>
            </w:pPr>
            <w:r w:rsidRPr="00BE1829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BE1829">
              <w:rPr>
                <w:rFonts w:ascii="Titillium Web" w:eastAsia="Titillium" w:hAnsi="Titillium Web" w:cs="Titillium"/>
                <w:szCs w:val="24"/>
              </w:rPr>
              <w:t xml:space="preserve"> 1981, p. 89, n. 29; </w:t>
            </w:r>
            <w:r w:rsidRPr="00BE182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E182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6DD4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E1829"/>
    <w:rsid w:val="00C21EE0"/>
    <w:rsid w:val="00D900AB"/>
    <w:rsid w:val="00D936E8"/>
    <w:rsid w:val="00DE27C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2026-05-17T20:05:00Z</dcterms:modified>
</cp:coreProperties>
</file>