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288</w:t>
      </w:r>
    </w:p>
    <w:tbl>
      <w:tblPr>
        <w:tblStyle w:val="Grigliatabella"/>
        <w:tblW w:w="5000" w:type="pct"/>
        <w:jc w:val="center"/>
        <w:tblLook w:val="04A0" w:firstRow="1" w:lastRow="0" w:firstColumn="1" w:lastColumn="0" w:noHBand="0" w:noVBand="1"/>
      </w:tblPr>
      <w:tblGrid>
        <w:gridCol w:w="2990"/>
        <w:gridCol w:w="6070"/>
      </w:tblGrid>
      <w:tr w:rsidR="0086297F" w:rsidRPr="006D5A2B" w14:paraId="69604347" w14:textId="77777777" w:rsidTr="002665C6">
        <w:trPr>
          <w:jc w:val="center"/>
        </w:trPr>
        <w:tc>
          <w:tcPr>
            <w:tcW w:w="1650" w:type="pct"/>
            <w:vAlign w:val="center"/>
          </w:tcPr>
          <w:p w14:paraId="59258D49"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Anno di rinvenimento</w:t>
            </w:r>
          </w:p>
        </w:tc>
        <w:tc>
          <w:tcPr>
            <w:tcW w:w="3350" w:type="pct"/>
            <w:vAlign w:val="center"/>
          </w:tcPr>
          <w:p w14:paraId="10AA1E7C" w14:textId="59BFE2EE" w:rsidR="0086297F" w:rsidRPr="006D5A2B" w:rsidRDefault="0086297F" w:rsidP="002665C6">
            <w:pPr>
              <w:jc w:val="center"/>
              <w:rPr>
                <w:rFonts w:ascii="Titillium Web" w:hAnsi="Titillium Web"/>
                <w:szCs w:val="24"/>
              </w:rPr>
            </w:pPr>
            <w:r w:rsidRPr="006D5A2B">
              <w:rPr>
                <w:rFonts w:ascii="Titillium Web" w:hAnsi="Titillium Web"/>
                <w:szCs w:val="24"/>
              </w:rPr>
              <w:t>1924</w:t>
            </w:r>
          </w:p>
        </w:tc>
      </w:tr>
      <w:tr w:rsidR="0086297F" w:rsidRPr="006D5A2B" w14:paraId="3B6B9C62" w14:textId="77777777" w:rsidTr="002665C6">
        <w:trPr>
          <w:jc w:val="center"/>
        </w:trPr>
        <w:tc>
          <w:tcPr>
            <w:tcW w:w="1650" w:type="pct"/>
            <w:vAlign w:val="center"/>
          </w:tcPr>
          <w:p w14:paraId="2D01D888"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Stato di conservazione della tomba</w:t>
            </w:r>
          </w:p>
        </w:tc>
        <w:tc>
          <w:tcPr>
            <w:tcW w:w="3350" w:type="pct"/>
            <w:vAlign w:val="center"/>
          </w:tcPr>
          <w:p w14:paraId="3ADC95CD" w14:textId="31719CCD" w:rsidR="0086297F" w:rsidRPr="006D5A2B" w:rsidRDefault="0086297F" w:rsidP="002665C6">
            <w:pPr>
              <w:jc w:val="center"/>
              <w:rPr>
                <w:rFonts w:ascii="Titillium Web" w:hAnsi="Titillium Web"/>
                <w:szCs w:val="24"/>
              </w:rPr>
            </w:pPr>
            <w:r w:rsidRPr="006D5A2B">
              <w:rPr>
                <w:rFonts w:ascii="Titillium Web" w:hAnsi="Titillium Web"/>
                <w:szCs w:val="24"/>
              </w:rPr>
              <w:t>Sconvolta</w:t>
            </w:r>
          </w:p>
        </w:tc>
      </w:tr>
      <w:tr w:rsidR="0086297F" w:rsidRPr="006D5A2B" w14:paraId="3D165E1E" w14:textId="77777777" w:rsidTr="002665C6">
        <w:trPr>
          <w:jc w:val="center"/>
        </w:trPr>
        <w:tc>
          <w:tcPr>
            <w:tcW w:w="1650" w:type="pct"/>
            <w:vAlign w:val="center"/>
          </w:tcPr>
          <w:p w14:paraId="2A5B3D4F"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Rito di seppellimento</w:t>
            </w:r>
          </w:p>
        </w:tc>
        <w:tc>
          <w:tcPr>
            <w:tcW w:w="3350" w:type="pct"/>
            <w:vAlign w:val="center"/>
          </w:tcPr>
          <w:p w14:paraId="094BD426" w14:textId="6E99443A" w:rsidR="0086297F" w:rsidRPr="006D5A2B" w:rsidRDefault="0086297F" w:rsidP="002665C6">
            <w:pPr>
              <w:jc w:val="center"/>
              <w:rPr>
                <w:rFonts w:ascii="Titillium Web" w:hAnsi="Titillium Web"/>
                <w:szCs w:val="24"/>
              </w:rPr>
            </w:pPr>
            <w:r w:rsidRPr="006D5A2B">
              <w:rPr>
                <w:rFonts w:ascii="Titillium Web" w:hAnsi="Titillium Web"/>
                <w:szCs w:val="24"/>
              </w:rPr>
              <w:t>Cremazione</w:t>
            </w:r>
          </w:p>
        </w:tc>
      </w:tr>
      <w:tr w:rsidR="0086297F" w:rsidRPr="006D5A2B" w14:paraId="44CADBCB" w14:textId="77777777" w:rsidTr="002665C6">
        <w:trPr>
          <w:jc w:val="center"/>
        </w:trPr>
        <w:tc>
          <w:tcPr>
            <w:tcW w:w="1650" w:type="pct"/>
            <w:vAlign w:val="center"/>
          </w:tcPr>
          <w:p w14:paraId="1E25741A"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Struttura tomba</w:t>
            </w:r>
          </w:p>
        </w:tc>
        <w:tc>
          <w:tcPr>
            <w:tcW w:w="3350" w:type="pct"/>
            <w:vAlign w:val="center"/>
          </w:tcPr>
          <w:p w14:paraId="1DE3BCB3" w14:textId="08DB6A85" w:rsidR="0086297F" w:rsidRPr="006D5A2B" w:rsidRDefault="0086297F" w:rsidP="002665C6">
            <w:pPr>
              <w:jc w:val="center"/>
              <w:rPr>
                <w:rFonts w:ascii="Titillium Web" w:hAnsi="Titillium Web"/>
                <w:szCs w:val="24"/>
              </w:rPr>
            </w:pPr>
            <w:r w:rsidRPr="006D5A2B">
              <w:rPr>
                <w:rFonts w:ascii="Titillium Web" w:hAnsi="Titillium Web"/>
                <w:szCs w:val="24"/>
              </w:rPr>
              <w:t>pozzetto semplice</w:t>
            </w:r>
          </w:p>
        </w:tc>
      </w:tr>
      <w:tr w:rsidR="0086297F" w:rsidRPr="006D5A2B" w14:paraId="47E1F943" w14:textId="77777777" w:rsidTr="002665C6">
        <w:trPr>
          <w:jc w:val="center"/>
        </w:trPr>
        <w:tc>
          <w:tcPr>
            <w:tcW w:w="1650" w:type="pct"/>
            <w:vAlign w:val="center"/>
          </w:tcPr>
          <w:p w14:paraId="355EE080"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 xml:space="preserve">Profondità dal piano di campagna </w:t>
            </w:r>
          </w:p>
        </w:tc>
        <w:tc>
          <w:tcPr>
            <w:tcW w:w="3350" w:type="pct"/>
            <w:vAlign w:val="center"/>
          </w:tcPr>
          <w:p w14:paraId="13D75B9B" w14:textId="6492371F" w:rsidR="0086297F" w:rsidRPr="006D5A2B" w:rsidRDefault="0086297F" w:rsidP="002665C6">
            <w:pPr>
              <w:jc w:val="center"/>
              <w:rPr>
                <w:rFonts w:ascii="Titillium Web" w:hAnsi="Titillium Web"/>
                <w:szCs w:val="24"/>
              </w:rPr>
            </w:pPr>
            <w:r w:rsidRPr="006D5A2B">
              <w:rPr>
                <w:rFonts w:ascii="Titillium Web" w:hAnsi="Titillium Web"/>
                <w:szCs w:val="24"/>
              </w:rPr>
              <w:t>1,2 m</w:t>
            </w:r>
          </w:p>
        </w:tc>
      </w:tr>
      <w:tr w:rsidR="0086297F" w:rsidRPr="006D5A2B" w14:paraId="75BC79FE" w14:textId="77777777" w:rsidTr="002665C6">
        <w:trPr>
          <w:jc w:val="center"/>
        </w:trPr>
        <w:tc>
          <w:tcPr>
            <w:tcW w:w="1650" w:type="pct"/>
            <w:vAlign w:val="center"/>
          </w:tcPr>
          <w:p w14:paraId="432462C5"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Dimensioni della sepoltura</w:t>
            </w:r>
          </w:p>
        </w:tc>
        <w:tc>
          <w:tcPr>
            <w:tcW w:w="3350" w:type="pct"/>
            <w:vAlign w:val="center"/>
          </w:tcPr>
          <w:p w14:paraId="65EDFAD4" w14:textId="5859930D" w:rsidR="0086297F" w:rsidRPr="006D5A2B" w:rsidRDefault="0086297F" w:rsidP="002665C6">
            <w:pPr>
              <w:jc w:val="center"/>
              <w:rPr>
                <w:rFonts w:ascii="Titillium Web" w:hAnsi="Titillium Web"/>
                <w:szCs w:val="24"/>
              </w:rPr>
            </w:pPr>
            <w:r w:rsidRPr="006D5A2B">
              <w:rPr>
                <w:rFonts w:ascii="Titillium Web" w:hAnsi="Titillium Web"/>
                <w:szCs w:val="24"/>
              </w:rPr>
              <w:t>Dimensioni non registrate</w:t>
            </w:r>
          </w:p>
        </w:tc>
      </w:tr>
      <w:tr w:rsidR="0086297F" w:rsidRPr="006D5A2B" w14:paraId="35E5C09E" w14:textId="77777777" w:rsidTr="002665C6">
        <w:trPr>
          <w:jc w:val="center"/>
        </w:trPr>
        <w:tc>
          <w:tcPr>
            <w:tcW w:w="1650" w:type="pct"/>
            <w:vAlign w:val="center"/>
          </w:tcPr>
          <w:p w14:paraId="5AA10374"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Orientamento dello scheletro</w:t>
            </w:r>
          </w:p>
        </w:tc>
        <w:tc>
          <w:tcPr>
            <w:tcW w:w="3350" w:type="pct"/>
            <w:vAlign w:val="center"/>
          </w:tcPr>
          <w:p w14:paraId="6E0E4E7B" w14:textId="7F6B3E0C" w:rsidR="0086297F" w:rsidRPr="006D5A2B" w:rsidRDefault="0086297F" w:rsidP="002665C6">
            <w:pPr>
              <w:jc w:val="center"/>
              <w:rPr>
                <w:rFonts w:ascii="Titillium Web" w:hAnsi="Titillium Web"/>
                <w:szCs w:val="24"/>
              </w:rPr>
            </w:pPr>
            <w:r w:rsidRPr="006D5A2B">
              <w:rPr>
                <w:rFonts w:ascii="Titillium Web" w:hAnsi="Titillium Web"/>
                <w:szCs w:val="24"/>
              </w:rPr>
              <w:t>/</w:t>
            </w:r>
          </w:p>
        </w:tc>
      </w:tr>
      <w:tr w:rsidR="0086297F" w:rsidRPr="006D5A2B" w14:paraId="71236441" w14:textId="77777777" w:rsidTr="002665C6">
        <w:trPr>
          <w:jc w:val="center"/>
        </w:trPr>
        <w:tc>
          <w:tcPr>
            <w:tcW w:w="1650" w:type="pct"/>
            <w:vAlign w:val="center"/>
          </w:tcPr>
          <w:p w14:paraId="4A1B31A8"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Segnacolo</w:t>
            </w:r>
          </w:p>
        </w:tc>
        <w:tc>
          <w:tcPr>
            <w:tcW w:w="3350" w:type="pct"/>
            <w:vAlign w:val="center"/>
          </w:tcPr>
          <w:p w14:paraId="104CE615" w14:textId="50385AE1" w:rsidR="0086297F" w:rsidRPr="006D5A2B" w:rsidRDefault="0086297F" w:rsidP="002665C6">
            <w:pPr>
              <w:jc w:val="center"/>
              <w:rPr>
                <w:rFonts w:ascii="Titillium Web" w:hAnsi="Titillium Web"/>
                <w:szCs w:val="24"/>
              </w:rPr>
            </w:pPr>
            <w:r w:rsidRPr="006D5A2B">
              <w:rPr>
                <w:rFonts w:ascii="Titillium Web" w:hAnsi="Titillium Web"/>
                <w:szCs w:val="24"/>
              </w:rPr>
              <w:t>Ciottolo fluviale</w:t>
            </w:r>
          </w:p>
        </w:tc>
      </w:tr>
      <w:tr w:rsidR="0086297F" w:rsidRPr="006D5A2B" w14:paraId="6D6CBA71" w14:textId="77777777" w:rsidTr="002665C6">
        <w:trPr>
          <w:jc w:val="center"/>
        </w:trPr>
        <w:tc>
          <w:tcPr>
            <w:tcW w:w="1650" w:type="pct"/>
            <w:vAlign w:val="center"/>
          </w:tcPr>
          <w:p w14:paraId="75CA0D64"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Giornale di scavo</w:t>
            </w:r>
          </w:p>
        </w:tc>
        <w:tc>
          <w:tcPr>
            <w:tcW w:w="3350" w:type="pct"/>
            <w:vAlign w:val="center"/>
          </w:tcPr>
          <w:p w14:paraId="021F6D59" w14:textId="54C888A6" w:rsidR="00AE7573" w:rsidRPr="006D5A2B" w:rsidRDefault="00000000">
            <w:pPr>
              <w:rPr>
                <w:rFonts w:ascii="Titillium Web" w:hAnsi="Titillium Web"/>
                <w:i/>
                <w:iCs/>
                <w:szCs w:val="24"/>
              </w:rPr>
            </w:pPr>
            <w:r w:rsidRPr="006D5A2B">
              <w:rPr>
                <w:rFonts w:ascii="Titillium Web" w:hAnsi="Titillium Web"/>
                <w:i/>
                <w:iCs/>
                <w:szCs w:val="24"/>
              </w:rPr>
              <w:t>Tomba 288 (a cremazione?)</w:t>
            </w:r>
            <w:r w:rsidR="001967F3">
              <w:rPr>
                <w:rFonts w:ascii="Titillium Web" w:hAnsi="Titillium Web"/>
                <w:i/>
                <w:iCs/>
                <w:szCs w:val="24"/>
              </w:rPr>
              <w:t xml:space="preserve"> </w:t>
            </w:r>
            <w:r w:rsidRPr="006D5A2B">
              <w:rPr>
                <w:rFonts w:ascii="Titillium Web" w:hAnsi="Titillium Web"/>
                <w:i/>
                <w:iCs/>
                <w:szCs w:val="24"/>
              </w:rPr>
              <w:t>- devastata -</w:t>
            </w:r>
          </w:p>
          <w:p w14:paraId="0AB2A955" w14:textId="77777777" w:rsidR="00AE7573" w:rsidRPr="006D5A2B" w:rsidRDefault="00000000">
            <w:pPr>
              <w:rPr>
                <w:rFonts w:ascii="Titillium Web" w:hAnsi="Titillium Web"/>
                <w:i/>
                <w:iCs/>
                <w:szCs w:val="24"/>
              </w:rPr>
            </w:pPr>
            <w:r w:rsidRPr="006D5A2B">
              <w:rPr>
                <w:rFonts w:ascii="Titillium Web" w:hAnsi="Titillium Web"/>
                <w:i/>
                <w:iCs/>
                <w:szCs w:val="24"/>
              </w:rPr>
              <w:t>a m. 26 dallo scolo B e a m. 13,50 dal limite S.., a m. 0,60 ove appare la sabbia pura, si rinviene un ciottolo di arenaria e sotto di esso a m. 1,20 si rinviene fra il terreno sconvolto</w:t>
            </w:r>
          </w:p>
          <w:p w14:paraId="0316C5A0" w14:textId="77777777" w:rsidR="00AE7573" w:rsidRPr="006D5A2B" w:rsidRDefault="00000000">
            <w:pPr>
              <w:rPr>
                <w:rFonts w:ascii="Titillium Web" w:hAnsi="Titillium Web"/>
                <w:i/>
                <w:iCs/>
                <w:szCs w:val="24"/>
              </w:rPr>
            </w:pPr>
            <w:r w:rsidRPr="006D5A2B">
              <w:rPr>
                <w:rFonts w:ascii="Titillium Web" w:hAnsi="Titillium Web"/>
                <w:i/>
                <w:iCs/>
                <w:szCs w:val="24"/>
              </w:rPr>
              <w:t>1 grande skyfos (cotile) di argilla chiara, con piede stretto, a decorazioni di tinta bruno scura. Ha decorazioni di un fregio all’orlo della bocca di un meandro (greca), più sotto due fascie circolari attorno al vaso, brune, poi due zone di viticci con grappoli e bacche, poscia fascie scure fino al piede -</w:t>
            </w:r>
          </w:p>
          <w:p w14:paraId="1BA847E3" w14:textId="77777777" w:rsidR="00AE7573" w:rsidRPr="006D5A2B" w:rsidRDefault="00000000">
            <w:pPr>
              <w:rPr>
                <w:rFonts w:ascii="Titillium Web" w:hAnsi="Titillium Web"/>
                <w:i/>
                <w:iCs/>
                <w:szCs w:val="24"/>
              </w:rPr>
            </w:pPr>
            <w:r w:rsidRPr="006D5A2B">
              <w:rPr>
                <w:rFonts w:ascii="Titillium Web" w:hAnsi="Titillium Web"/>
                <w:i/>
                <w:iCs/>
                <w:szCs w:val="24"/>
              </w:rPr>
              <w:t>Presso lo skyfos era:</w:t>
            </w:r>
          </w:p>
          <w:p w14:paraId="21DA7F9A" w14:textId="77777777" w:rsidR="00AE7573" w:rsidRPr="006D5A2B" w:rsidRDefault="00000000">
            <w:pPr>
              <w:rPr>
                <w:rFonts w:ascii="Titillium Web" w:hAnsi="Titillium Web"/>
                <w:i/>
                <w:iCs/>
                <w:szCs w:val="24"/>
              </w:rPr>
            </w:pPr>
            <w:r w:rsidRPr="006D5A2B">
              <w:rPr>
                <w:rFonts w:ascii="Titillium Web" w:hAnsi="Titillium Web"/>
                <w:i/>
                <w:iCs/>
                <w:szCs w:val="24"/>
              </w:rPr>
              <w:t>1 frammento della spalla con ansa, di uno di quei dolietti di argilla ben cotta e decorati a linee a zig-zag di tinta bruno scura, che per solito servono da cinerari nelle tombe.</w:t>
            </w:r>
          </w:p>
          <w:p w14:paraId="565DFA01" w14:textId="77777777" w:rsidR="00AE7573" w:rsidRPr="006D5A2B" w:rsidRDefault="00000000">
            <w:pPr>
              <w:rPr>
                <w:rFonts w:ascii="Titillium Web" w:hAnsi="Titillium Web"/>
                <w:i/>
                <w:iCs/>
                <w:szCs w:val="24"/>
              </w:rPr>
            </w:pPr>
            <w:r w:rsidRPr="006D5A2B">
              <w:rPr>
                <w:rFonts w:ascii="Titillium Web" w:hAnsi="Titillium Web"/>
                <w:i/>
                <w:iCs/>
                <w:szCs w:val="24"/>
              </w:rPr>
              <w:t>Non si rinvengono ne le ossa combuste ne avanzi di scheletro.</w:t>
            </w:r>
          </w:p>
        </w:tc>
      </w:tr>
      <w:tr w:rsidR="0086297F" w:rsidRPr="006D5A2B" w14:paraId="1429C2F3" w14:textId="77777777" w:rsidTr="002665C6">
        <w:trPr>
          <w:jc w:val="center"/>
        </w:trPr>
        <w:tc>
          <w:tcPr>
            <w:tcW w:w="1650" w:type="pct"/>
            <w:vAlign w:val="center"/>
          </w:tcPr>
          <w:p w14:paraId="7F398080"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Posizione del corredo</w:t>
            </w:r>
          </w:p>
        </w:tc>
        <w:tc>
          <w:tcPr>
            <w:tcW w:w="3350" w:type="pct"/>
            <w:vAlign w:val="center"/>
          </w:tcPr>
          <w:p w14:paraId="5C03ADA7" w14:textId="7BF3AD8D" w:rsidR="0086297F" w:rsidRPr="006D5A2B" w:rsidRDefault="0086297F" w:rsidP="002665C6">
            <w:pPr>
              <w:jc w:val="center"/>
              <w:rPr>
                <w:rFonts w:ascii="Titillium Web" w:hAnsi="Titillium Web"/>
                <w:szCs w:val="24"/>
              </w:rPr>
            </w:pPr>
            <w:r w:rsidRPr="006D5A2B">
              <w:rPr>
                <w:rFonts w:ascii="Titillium Web" w:hAnsi="Titillium Web"/>
                <w:szCs w:val="24"/>
              </w:rPr>
              <w:t>Fuori il cinerario</w:t>
            </w:r>
          </w:p>
        </w:tc>
      </w:tr>
      <w:tr w:rsidR="0086297F" w:rsidRPr="006D5A2B" w14:paraId="71A0E4AF" w14:textId="77777777" w:rsidTr="002665C6">
        <w:trPr>
          <w:jc w:val="center"/>
        </w:trPr>
        <w:tc>
          <w:tcPr>
            <w:tcW w:w="1650" w:type="pct"/>
            <w:vAlign w:val="center"/>
          </w:tcPr>
          <w:p w14:paraId="2128B19B"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Genere (legato all’analisi del corredo)</w:t>
            </w:r>
          </w:p>
        </w:tc>
        <w:tc>
          <w:tcPr>
            <w:tcW w:w="3350" w:type="pct"/>
            <w:vAlign w:val="center"/>
          </w:tcPr>
          <w:p w14:paraId="31324C2B" w14:textId="4E55E405" w:rsidR="0086297F" w:rsidRPr="006D5A2B" w:rsidRDefault="0086297F" w:rsidP="002665C6">
            <w:pPr>
              <w:jc w:val="center"/>
              <w:rPr>
                <w:rFonts w:ascii="Titillium Web" w:hAnsi="Titillium Web"/>
                <w:szCs w:val="24"/>
              </w:rPr>
            </w:pPr>
            <w:r w:rsidRPr="006D5A2B">
              <w:rPr>
                <w:rFonts w:ascii="Titillium Web" w:hAnsi="Titillium Web"/>
                <w:szCs w:val="24"/>
              </w:rPr>
              <w:t>Non determinabile</w:t>
            </w:r>
          </w:p>
        </w:tc>
      </w:tr>
      <w:tr w:rsidR="0086297F" w:rsidRPr="006D5A2B" w14:paraId="17633947" w14:textId="77777777" w:rsidTr="002665C6">
        <w:trPr>
          <w:jc w:val="center"/>
        </w:trPr>
        <w:tc>
          <w:tcPr>
            <w:tcW w:w="1650" w:type="pct"/>
            <w:vAlign w:val="center"/>
          </w:tcPr>
          <w:p w14:paraId="44721053"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Sesso (legato alle analisi antropologiche)</w:t>
            </w:r>
          </w:p>
        </w:tc>
        <w:tc>
          <w:tcPr>
            <w:tcW w:w="3350" w:type="pct"/>
            <w:vAlign w:val="center"/>
          </w:tcPr>
          <w:p w14:paraId="66E918A4" w14:textId="50197FF0" w:rsidR="0086297F" w:rsidRPr="006D5A2B" w:rsidRDefault="0086297F" w:rsidP="002665C6">
            <w:pPr>
              <w:jc w:val="center"/>
              <w:rPr>
                <w:rFonts w:ascii="Titillium Web" w:hAnsi="Titillium Web"/>
                <w:szCs w:val="24"/>
              </w:rPr>
            </w:pPr>
            <w:r w:rsidRPr="006D5A2B">
              <w:rPr>
                <w:rFonts w:ascii="Titillium Web" w:hAnsi="Titillium Web"/>
                <w:szCs w:val="24"/>
              </w:rPr>
              <w:t>Non determinabile</w:t>
            </w:r>
          </w:p>
        </w:tc>
      </w:tr>
      <w:tr w:rsidR="0086297F" w:rsidRPr="006D5A2B" w14:paraId="0588946D" w14:textId="77777777" w:rsidTr="002665C6">
        <w:trPr>
          <w:jc w:val="center"/>
        </w:trPr>
        <w:tc>
          <w:tcPr>
            <w:tcW w:w="1650" w:type="pct"/>
            <w:vAlign w:val="center"/>
          </w:tcPr>
          <w:p w14:paraId="54990945"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Classi di età</w:t>
            </w:r>
          </w:p>
        </w:tc>
        <w:tc>
          <w:tcPr>
            <w:tcW w:w="3350" w:type="pct"/>
            <w:vAlign w:val="center"/>
          </w:tcPr>
          <w:p w14:paraId="0E0589EA" w14:textId="7D4DF825" w:rsidR="0086297F" w:rsidRPr="006D5A2B" w:rsidRDefault="0086297F" w:rsidP="002665C6">
            <w:pPr>
              <w:jc w:val="center"/>
              <w:rPr>
                <w:rFonts w:ascii="Titillium Web" w:hAnsi="Titillium Web"/>
                <w:szCs w:val="24"/>
              </w:rPr>
            </w:pPr>
            <w:r w:rsidRPr="006D5A2B">
              <w:rPr>
                <w:rFonts w:ascii="Titillium Web" w:hAnsi="Titillium Web"/>
                <w:szCs w:val="24"/>
              </w:rPr>
              <w:t>Non determinabile</w:t>
            </w:r>
          </w:p>
        </w:tc>
      </w:tr>
      <w:tr w:rsidR="0086297F" w:rsidRPr="006D5A2B" w14:paraId="1FFA88A1" w14:textId="77777777" w:rsidTr="002665C6">
        <w:trPr>
          <w:jc w:val="center"/>
        </w:trPr>
        <w:tc>
          <w:tcPr>
            <w:tcW w:w="1650" w:type="pct"/>
            <w:vAlign w:val="center"/>
          </w:tcPr>
          <w:p w14:paraId="63B2D8D6" w14:textId="77777777" w:rsidR="0086297F" w:rsidRPr="006D5A2B" w:rsidRDefault="0086297F" w:rsidP="002665C6">
            <w:pPr>
              <w:jc w:val="center"/>
              <w:rPr>
                <w:rFonts w:ascii="Titillium Web" w:hAnsi="Titillium Web"/>
                <w:smallCaps/>
                <w:szCs w:val="24"/>
              </w:rPr>
            </w:pPr>
            <w:r w:rsidRPr="006D5A2B">
              <w:rPr>
                <w:rFonts w:ascii="Titillium Web" w:hAnsi="Titillium Web"/>
                <w:smallCaps/>
                <w:szCs w:val="24"/>
              </w:rPr>
              <w:t>Bibliografia essenziale</w:t>
            </w:r>
          </w:p>
        </w:tc>
        <w:tc>
          <w:tcPr>
            <w:tcW w:w="3350" w:type="pct"/>
            <w:vAlign w:val="center"/>
          </w:tcPr>
          <w:p w14:paraId="6E4CE801" w14:textId="2A5FB308" w:rsidR="00AE7573" w:rsidRPr="006D5A2B" w:rsidRDefault="00000000" w:rsidP="004B2F66">
            <w:pPr>
              <w:jc w:val="center"/>
              <w:rPr>
                <w:rFonts w:ascii="Titillium Web" w:hAnsi="Titillium Web"/>
                <w:szCs w:val="24"/>
              </w:rPr>
            </w:pPr>
            <w:r w:rsidRPr="006D5A2B">
              <w:rPr>
                <w:rFonts w:ascii="Titillium Web" w:eastAsia="Titillium" w:hAnsi="Titillium Web" w:cs="Titillium"/>
                <w:smallCaps/>
                <w:szCs w:val="24"/>
              </w:rPr>
              <w:t>Felletti Maj</w:t>
            </w:r>
            <w:r w:rsidRPr="006D5A2B">
              <w:rPr>
                <w:rFonts w:ascii="Titillium Web" w:eastAsia="Titillium" w:hAnsi="Titillium Web" w:cs="Titillium"/>
                <w:szCs w:val="24"/>
              </w:rPr>
              <w:t xml:space="preserve"> 1940, p. 59, n. 53, tav. V</w:t>
            </w:r>
            <w:r w:rsidR="001967F3">
              <w:rPr>
                <w:rFonts w:ascii="Titillium Web" w:eastAsia="Titillium" w:hAnsi="Titillium Web" w:cs="Titillium"/>
                <w:szCs w:val="24"/>
              </w:rPr>
              <w:t>I</w:t>
            </w:r>
            <w:r w:rsidRPr="006D5A2B">
              <w:rPr>
                <w:rFonts w:ascii="Titillium Web" w:eastAsia="Titillium" w:hAnsi="Titillium Web" w:cs="Titillium"/>
                <w:szCs w:val="24"/>
              </w:rPr>
              <w:t xml:space="preserve">,1; </w:t>
            </w:r>
            <w:r w:rsidRPr="006D5A2B">
              <w:rPr>
                <w:rFonts w:ascii="Titillium Web" w:eastAsia="Titillium" w:hAnsi="Titillium Web" w:cs="Titillium"/>
                <w:i/>
                <w:iCs/>
                <w:szCs w:val="24"/>
              </w:rPr>
              <w:t>Mostra</w:t>
            </w:r>
            <w:r w:rsidRPr="006D5A2B">
              <w:rPr>
                <w:rFonts w:ascii="Titillium Web" w:eastAsia="Titillium" w:hAnsi="Titillium Web" w:cs="Titillium"/>
                <w:szCs w:val="24"/>
              </w:rPr>
              <w:t xml:space="preserve"> 1960, p. 334, n. 1065; </w:t>
            </w:r>
            <w:r w:rsidRPr="006D5A2B">
              <w:rPr>
                <w:rFonts w:ascii="Titillium Web" w:eastAsia="Titillium" w:hAnsi="Titillium Web" w:cs="Titillium"/>
                <w:smallCaps/>
                <w:szCs w:val="24"/>
              </w:rPr>
              <w:t>Alfieri</w:t>
            </w:r>
            <w:r w:rsidRPr="006D5A2B">
              <w:rPr>
                <w:rFonts w:ascii="Titillium Web" w:eastAsia="Titillium" w:hAnsi="Titillium Web" w:cs="Titillium"/>
                <w:szCs w:val="24"/>
              </w:rPr>
              <w:t xml:space="preserve"> 1979, p. 139, fig. 406; </w:t>
            </w:r>
            <w:r w:rsidRPr="004B2F66">
              <w:rPr>
                <w:rFonts w:ascii="Titillium Web" w:eastAsia="Titillium" w:hAnsi="Titillium Web" w:cs="Titillium"/>
                <w:smallCaps/>
                <w:szCs w:val="24"/>
              </w:rPr>
              <w:t>Baldoni</w:t>
            </w:r>
            <w:r w:rsidRPr="006D5A2B">
              <w:rPr>
                <w:rFonts w:ascii="Titillium Web" w:eastAsia="Titillium" w:hAnsi="Titillium Web" w:cs="Titillium"/>
                <w:szCs w:val="24"/>
              </w:rPr>
              <w:t xml:space="preserve"> 1981, p. 168, n. 140; </w:t>
            </w:r>
            <w:r w:rsidR="004B2F66" w:rsidRPr="006D5A2B">
              <w:rPr>
                <w:rFonts w:ascii="Titillium Web" w:eastAsia="Titillium" w:hAnsi="Titillium Web" w:cs="Titillium"/>
                <w:i/>
                <w:iCs/>
                <w:szCs w:val="24"/>
              </w:rPr>
              <w:t>Classico Anticlassico</w:t>
            </w:r>
            <w:r w:rsidR="004B2F66">
              <w:rPr>
                <w:rFonts w:ascii="Titillium Web" w:eastAsia="Titillium" w:hAnsi="Titillium Web" w:cs="Titillium"/>
                <w:i/>
                <w:iCs/>
                <w:szCs w:val="24"/>
              </w:rPr>
              <w:t xml:space="preserve"> </w:t>
            </w:r>
            <w:r w:rsidR="004B2F66">
              <w:rPr>
                <w:rFonts w:ascii="Titillium Web" w:eastAsia="Titillium" w:hAnsi="Titillium Web" w:cs="Titillium"/>
                <w:szCs w:val="24"/>
              </w:rPr>
              <w:t>1996</w:t>
            </w:r>
            <w:r w:rsidR="004B2F66" w:rsidRPr="006D5A2B">
              <w:rPr>
                <w:rFonts w:ascii="Titillium Web" w:eastAsia="Titillium" w:hAnsi="Titillium Web" w:cs="Titillium"/>
                <w:szCs w:val="24"/>
              </w:rPr>
              <w:t xml:space="preserve">, p. 148; </w:t>
            </w:r>
            <w:r w:rsidRPr="004B2F66">
              <w:rPr>
                <w:rFonts w:ascii="Titillium Web" w:eastAsia="Titillium" w:hAnsi="Titillium Web" w:cs="Titillium"/>
                <w:smallCaps/>
                <w:szCs w:val="24"/>
              </w:rPr>
              <w:t>Gaucci</w:t>
            </w:r>
            <w:r w:rsidRPr="006D5A2B">
              <w:rPr>
                <w:rFonts w:ascii="Titillium Web" w:eastAsia="Titillium" w:hAnsi="Titillium Web" w:cs="Titillium"/>
                <w:szCs w:val="24"/>
              </w:rPr>
              <w:t xml:space="preserve"> 2014; </w:t>
            </w:r>
            <w:r w:rsidRPr="004B2F66">
              <w:rPr>
                <w:rFonts w:ascii="Titillium Web" w:eastAsia="Titillium" w:hAnsi="Titillium Web" w:cs="Titillium"/>
                <w:smallCaps/>
                <w:szCs w:val="24"/>
              </w:rPr>
              <w:t>Bandini</w:t>
            </w:r>
            <w:r w:rsidRPr="006D5A2B">
              <w:rPr>
                <w:rFonts w:ascii="Titillium Web" w:eastAsia="Titillium" w:hAnsi="Titillium Web" w:cs="Titillium"/>
                <w:szCs w:val="24"/>
              </w:rPr>
              <w:t xml:space="preserve"> in </w:t>
            </w:r>
            <w:r w:rsidRPr="004B2F66">
              <w:rPr>
                <w:rFonts w:ascii="Titillium Web" w:eastAsia="Titillium" w:hAnsi="Titillium Web" w:cs="Titillium"/>
                <w:i/>
                <w:iCs/>
                <w:szCs w:val="24"/>
              </w:rPr>
              <w:t>Spina</w:t>
            </w:r>
            <w:r w:rsidRPr="006D5A2B">
              <w:rPr>
                <w:rFonts w:ascii="Titillium Web" w:eastAsia="Titillium" w:hAnsi="Titillium Web" w:cs="Titillium"/>
                <w:szCs w:val="24"/>
              </w:rPr>
              <w:t xml:space="preserve"> 2023, p. 377</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967F3"/>
    <w:rsid w:val="001C17CC"/>
    <w:rsid w:val="002977D7"/>
    <w:rsid w:val="00472AF4"/>
    <w:rsid w:val="004B2F66"/>
    <w:rsid w:val="00551AF8"/>
    <w:rsid w:val="005B5AFF"/>
    <w:rsid w:val="006162A4"/>
    <w:rsid w:val="006346F7"/>
    <w:rsid w:val="006D5A2B"/>
    <w:rsid w:val="006D6EFB"/>
    <w:rsid w:val="007145BC"/>
    <w:rsid w:val="0086297F"/>
    <w:rsid w:val="009E4922"/>
    <w:rsid w:val="00AB321D"/>
    <w:rsid w:val="00AE7573"/>
    <w:rsid w:val="00B12224"/>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9</cp:revision>
  <dcterms:created xsi:type="dcterms:W3CDTF">2026-04-30T12:42:00Z</dcterms:created>
  <dcterms:modified xsi:type="dcterms:W3CDTF">2026-05-15T19:59:00Z</dcterms:modified>
</cp:coreProperties>
</file>