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29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362CF8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362C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2CF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362C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362CF8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362C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2CF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362C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362CF8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362C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2CF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275A99BD" w:rsidR="001B5504" w:rsidRPr="00362CF8" w:rsidRDefault="00E128F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1B5504" w:rsidRPr="00362CF8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362C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2CF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362C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362CF8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362C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2CF8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362C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>0,20 m</w:t>
            </w:r>
          </w:p>
        </w:tc>
      </w:tr>
      <w:tr w:rsidR="001B5504" w:rsidRPr="00362CF8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362C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2CF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362C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362CF8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362C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2CF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59C8A194" w:rsidR="001B5504" w:rsidRPr="00362CF8" w:rsidRDefault="00E128F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362CF8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362C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2CF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00EB9445" w:rsidR="001B5504" w:rsidRPr="00362CF8" w:rsidRDefault="00E128F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362CF8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362CF8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2CF8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4E5D91B0" w:rsidR="001B5504" w:rsidRPr="00362CF8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362CF8">
              <w:rPr>
                <w:rFonts w:ascii="Titillium Web" w:hAnsi="Titillium Web"/>
                <w:i/>
                <w:iCs/>
                <w:szCs w:val="24"/>
              </w:rPr>
              <w:t>Tomba 29? saccheggiata –</w:t>
            </w:r>
            <w:r w:rsidRPr="00362CF8">
              <w:rPr>
                <w:rFonts w:ascii="Titillium Web" w:hAnsi="Titillium Web"/>
                <w:i/>
                <w:iCs/>
                <w:szCs w:val="24"/>
              </w:rPr>
              <w:br/>
              <w:t>Era a m. 3 a sud delle due precedenti e affiorava. Il gruppo delle suppellettili conteneva:</w:t>
            </w:r>
            <w:r w:rsidRPr="00362CF8">
              <w:rPr>
                <w:rFonts w:ascii="Titillium Web" w:hAnsi="Titillium Web"/>
                <w:i/>
                <w:iCs/>
                <w:szCs w:val="24"/>
              </w:rPr>
              <w:br/>
              <w:t>1 piccolo Kratere a fig. rosse su f.n., in frammenti ma ricomponibile: alta 0,20 circa da un lato, figura di uomo ammantato, dall’altro lato una menade e un satiro danzanti. Il disegno è scorretto.</w:t>
            </w:r>
            <w:r w:rsidRPr="00362CF8">
              <w:rPr>
                <w:rFonts w:ascii="Titillium Web" w:hAnsi="Titillium Web"/>
                <w:i/>
                <w:iCs/>
                <w:szCs w:val="24"/>
              </w:rPr>
              <w:br/>
              <w:t>2 aryballoi ovoidali, marciti completamente e irricomponibili.</w:t>
            </w:r>
            <w:r w:rsidRPr="00362CF8">
              <w:rPr>
                <w:rFonts w:ascii="Titillium Web" w:hAnsi="Titillium Web"/>
                <w:i/>
                <w:iCs/>
                <w:szCs w:val="24"/>
              </w:rPr>
              <w:br/>
              <w:t>1 tazza a vern. n., con impressioni (ricomponibile)</w:t>
            </w:r>
            <w:r w:rsidRPr="00362CF8">
              <w:rPr>
                <w:rFonts w:ascii="Titillium Web" w:hAnsi="Titillium Web"/>
                <w:i/>
                <w:iCs/>
                <w:szCs w:val="24"/>
              </w:rPr>
              <w:br/>
              <w:t>2 piccole tazzine a ver. nera, intere</w:t>
            </w:r>
            <w:r w:rsidRPr="00362CF8">
              <w:rPr>
                <w:rFonts w:ascii="Titillium Web" w:hAnsi="Titillium Web"/>
                <w:i/>
                <w:iCs/>
                <w:szCs w:val="24"/>
              </w:rPr>
              <w:br/>
              <w:t>2 frammenti di bronzo (fibule?)</w:t>
            </w:r>
            <w:r w:rsidRPr="00362CF8">
              <w:rPr>
                <w:rFonts w:ascii="Titillium Web" w:hAnsi="Titillium Web"/>
                <w:i/>
                <w:iCs/>
                <w:szCs w:val="24"/>
              </w:rPr>
              <w:br/>
              <w:t>1 piccolissima tazzina a vern. rossa, con ansa orrizontale; intera</w:t>
            </w:r>
            <w:r w:rsidRPr="00362CF8">
              <w:rPr>
                <w:rFonts w:ascii="Titillium Web" w:hAnsi="Titillium Web"/>
                <w:i/>
                <w:iCs/>
                <w:szCs w:val="24"/>
              </w:rPr>
              <w:br/>
              <w:t>7 o 8 piattelli di terra rossa locale (parte in fram.ti)</w:t>
            </w:r>
            <w:r w:rsidRPr="00362CF8">
              <w:rPr>
                <w:rFonts w:ascii="Titillium Web" w:hAnsi="Titillium Web"/>
                <w:i/>
                <w:iCs/>
                <w:szCs w:val="24"/>
              </w:rPr>
              <w:br/>
              <w:t xml:space="preserve">Non avendo rinvenuto </w:t>
            </w:r>
            <w:proofErr w:type="gramStart"/>
            <w:r w:rsidRPr="00362CF8">
              <w:rPr>
                <w:rFonts w:ascii="Titillium Web" w:hAnsi="Titillium Web"/>
                <w:i/>
                <w:iCs/>
                <w:szCs w:val="24"/>
              </w:rPr>
              <w:t>ne lo</w:t>
            </w:r>
            <w:proofErr w:type="gramEnd"/>
            <w:r w:rsidRPr="00362CF8">
              <w:rPr>
                <w:rFonts w:ascii="Titillium Web" w:hAnsi="Titillium Web"/>
                <w:i/>
                <w:iCs/>
                <w:szCs w:val="24"/>
              </w:rPr>
              <w:t xml:space="preserve"> scheletro, </w:t>
            </w:r>
            <w:proofErr w:type="gramStart"/>
            <w:r w:rsidRPr="00362CF8">
              <w:rPr>
                <w:rFonts w:ascii="Titillium Web" w:hAnsi="Titillium Web"/>
                <w:i/>
                <w:iCs/>
                <w:szCs w:val="24"/>
              </w:rPr>
              <w:t>ne le</w:t>
            </w:r>
            <w:proofErr w:type="gramEnd"/>
            <w:r w:rsidRPr="00362CF8">
              <w:rPr>
                <w:rFonts w:ascii="Titillium Web" w:hAnsi="Titillium Web"/>
                <w:i/>
                <w:iCs/>
                <w:szCs w:val="24"/>
              </w:rPr>
              <w:t xml:space="preserve"> ceneri combuste, e siccome quei pochi vasetti affioravano, bisogna arguire che la tomba fosse cremata e che il dolio uscendo dal terreno è stato scorto, di conseguenza sarà stato scavato e asportato –</w:t>
            </w:r>
          </w:p>
        </w:tc>
      </w:tr>
      <w:tr w:rsidR="001B5504" w:rsidRPr="00362CF8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362C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2CF8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1C49D192" w14:textId="29D5968E" w:rsidR="0054647F" w:rsidRPr="00362CF8" w:rsidRDefault="0054647F" w:rsidP="00362CF8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362CF8">
              <w:rPr>
                <w:rFonts w:ascii="Titillium Web" w:hAnsi="Titillium Web" w:cs="Times New Roman"/>
                <w:szCs w:val="24"/>
              </w:rPr>
              <w:t xml:space="preserve">Non furono rinvenuti i resti del defunto e pertanto non è possibile la collocazione del corredo. Gli oggetti recuperati comprendono: vasi attici a v.n. (nn. 2-8), un piccolo cratere a </w:t>
            </w:r>
            <w:proofErr w:type="spellStart"/>
            <w:r w:rsidRPr="00362CF8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362CF8">
              <w:rPr>
                <w:rFonts w:ascii="Titillium Web" w:hAnsi="Titillium Web" w:cs="Times New Roman"/>
                <w:szCs w:val="24"/>
              </w:rPr>
              <w:t>. (n. 1), alcuni piatti di produzione locale in ceramica depurata (nn. 9-15) e alcuni frr. in ferro (n. 16).</w:t>
            </w:r>
          </w:p>
          <w:p w14:paraId="73089E84" w14:textId="79B1869A" w:rsidR="00FD2A8A" w:rsidRPr="00362CF8" w:rsidRDefault="004D3396" w:rsidP="00362CF8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 xml:space="preserve">1. </w:t>
            </w:r>
            <w:r w:rsidR="00FD2A8A" w:rsidRPr="00362CF8">
              <w:rPr>
                <w:rFonts w:ascii="Titillium Web" w:hAnsi="Titillium Web"/>
                <w:szCs w:val="24"/>
              </w:rPr>
              <w:t>Cratere a campana attico (?) (IG 2995; figure rosse)</w:t>
            </w:r>
          </w:p>
          <w:p w14:paraId="2CB634D3" w14:textId="1F7B986F" w:rsidR="00FD2A8A" w:rsidRPr="00362CF8" w:rsidRDefault="004D3396" w:rsidP="00362CF8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 xml:space="preserve">2. </w:t>
            </w:r>
            <w:r w:rsidR="00FD2A8A" w:rsidRPr="00362CF8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="00FD2A8A" w:rsidRPr="00362CF8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="00FD2A8A" w:rsidRPr="00362CF8">
              <w:rPr>
                <w:rFonts w:ascii="Titillium Web" w:hAnsi="Titillium Web"/>
                <w:szCs w:val="24"/>
              </w:rPr>
              <w:t xml:space="preserve"> attica (IG 16060; vernice nera)</w:t>
            </w:r>
          </w:p>
          <w:p w14:paraId="65155AB1" w14:textId="79B134C0" w:rsidR="00FD2A8A" w:rsidRPr="00362CF8" w:rsidRDefault="004D3396" w:rsidP="00362CF8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lastRenderedPageBreak/>
              <w:t xml:space="preserve">3. </w:t>
            </w:r>
            <w:r w:rsidR="00FD2A8A" w:rsidRPr="00362CF8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="00FD2A8A" w:rsidRPr="00362CF8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="00FD2A8A" w:rsidRPr="00362CF8">
              <w:rPr>
                <w:rFonts w:ascii="Titillium Web" w:hAnsi="Titillium Web"/>
                <w:szCs w:val="24"/>
              </w:rPr>
              <w:t xml:space="preserve"> attica (IG 16061; vernice nera)</w:t>
            </w:r>
          </w:p>
          <w:p w14:paraId="7F45228C" w14:textId="44D780AB" w:rsidR="00FD2A8A" w:rsidRPr="00362CF8" w:rsidRDefault="004D3396" w:rsidP="00362CF8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 xml:space="preserve">4. </w:t>
            </w:r>
            <w:r w:rsidR="00FD2A8A" w:rsidRPr="00362CF8">
              <w:rPr>
                <w:rFonts w:ascii="Titillium Web" w:hAnsi="Titillium Web"/>
                <w:szCs w:val="24"/>
              </w:rPr>
              <w:t>Ciotola attica (IG 648; vernice nera)</w:t>
            </w:r>
          </w:p>
          <w:p w14:paraId="1A4B446E" w14:textId="38FC456F" w:rsidR="00FD2A8A" w:rsidRPr="00362CF8" w:rsidRDefault="004D3396" w:rsidP="00362CF8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 xml:space="preserve">5. </w:t>
            </w:r>
            <w:r w:rsidR="00FD2A8A" w:rsidRPr="00362CF8">
              <w:rPr>
                <w:rFonts w:ascii="Titillium Web" w:hAnsi="Titillium Web"/>
                <w:szCs w:val="24"/>
              </w:rPr>
              <w:t>Ciotola attica (IG 643; vernice nera)</w:t>
            </w:r>
          </w:p>
          <w:p w14:paraId="548CF545" w14:textId="6822B9D4" w:rsidR="00FD2A8A" w:rsidRPr="00362CF8" w:rsidRDefault="004D3396" w:rsidP="00362CF8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 xml:space="preserve">6. </w:t>
            </w:r>
            <w:r w:rsidR="00FD2A8A" w:rsidRPr="00362CF8">
              <w:rPr>
                <w:rFonts w:ascii="Titillium Web" w:hAnsi="Titillium Web"/>
                <w:szCs w:val="24"/>
              </w:rPr>
              <w:t>Ciotola attica (IG 647; vernice nera)</w:t>
            </w:r>
          </w:p>
          <w:p w14:paraId="3EAA3295" w14:textId="505BAEB4" w:rsidR="00FD2A8A" w:rsidRPr="00362CF8" w:rsidRDefault="004D3396" w:rsidP="00362CF8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 xml:space="preserve">7. </w:t>
            </w:r>
            <w:r w:rsidR="00FD2A8A" w:rsidRPr="00362CF8">
              <w:rPr>
                <w:rFonts w:ascii="Titillium Web" w:hAnsi="Titillium Web"/>
                <w:szCs w:val="24"/>
              </w:rPr>
              <w:t>Ciotola monoansata attica (IG 650; vernice nera)</w:t>
            </w:r>
          </w:p>
          <w:p w14:paraId="226341CB" w14:textId="66620189" w:rsidR="00FD2A8A" w:rsidRPr="00362CF8" w:rsidRDefault="004D3396" w:rsidP="00362CF8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 xml:space="preserve">8. </w:t>
            </w:r>
            <w:r w:rsidR="00FD2A8A" w:rsidRPr="00362CF8">
              <w:rPr>
                <w:rFonts w:ascii="Titillium Web" w:hAnsi="Titillium Web"/>
                <w:szCs w:val="24"/>
              </w:rPr>
              <w:t>Ciotola attica (IG 644; vernice nera)</w:t>
            </w:r>
          </w:p>
          <w:p w14:paraId="54DFBD0C" w14:textId="7364C7BC" w:rsidR="00FD2A8A" w:rsidRPr="00362CF8" w:rsidRDefault="004D3396" w:rsidP="00362CF8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 xml:space="preserve">9. </w:t>
            </w:r>
            <w:r w:rsidR="00FD2A8A" w:rsidRPr="00362CF8">
              <w:rPr>
                <w:rFonts w:ascii="Titillium Web" w:hAnsi="Titillium Web"/>
                <w:szCs w:val="24"/>
              </w:rPr>
              <w:t>Piatto di produzione locale (IG 657; ceramica depurata)</w:t>
            </w:r>
          </w:p>
          <w:p w14:paraId="266446F5" w14:textId="6AEE52F1" w:rsidR="00FD2A8A" w:rsidRPr="00362CF8" w:rsidRDefault="004D3396" w:rsidP="00362CF8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 xml:space="preserve">10. </w:t>
            </w:r>
            <w:r w:rsidR="00FD2A8A" w:rsidRPr="00362CF8">
              <w:rPr>
                <w:rFonts w:ascii="Titillium Web" w:hAnsi="Titillium Web"/>
                <w:szCs w:val="24"/>
              </w:rPr>
              <w:t>Piatto di produzione locale (IG 658; ceramica depurata)</w:t>
            </w:r>
          </w:p>
          <w:p w14:paraId="7002F76C" w14:textId="00B47291" w:rsidR="00FD2A8A" w:rsidRPr="00362CF8" w:rsidRDefault="004D3396" w:rsidP="00362CF8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 xml:space="preserve">11. </w:t>
            </w:r>
            <w:r w:rsidR="00FD2A8A" w:rsidRPr="00362CF8">
              <w:rPr>
                <w:rFonts w:ascii="Titillium Web" w:hAnsi="Titillium Web"/>
                <w:szCs w:val="24"/>
              </w:rPr>
              <w:t>Piatto di produzione locale (IG 16039; ceramica depurata)</w:t>
            </w:r>
          </w:p>
          <w:p w14:paraId="3CDAE2F2" w14:textId="5AAEE06B" w:rsidR="00FD2A8A" w:rsidRPr="00362CF8" w:rsidRDefault="004D3396" w:rsidP="00362CF8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 xml:space="preserve">12. </w:t>
            </w:r>
            <w:r w:rsidR="00FD2A8A" w:rsidRPr="00362CF8">
              <w:rPr>
                <w:rFonts w:ascii="Titillium Web" w:hAnsi="Titillium Web"/>
                <w:szCs w:val="24"/>
              </w:rPr>
              <w:t>Piatto di produzione locale (IG 16040; ceramica depurata)</w:t>
            </w:r>
          </w:p>
          <w:p w14:paraId="3441295E" w14:textId="02FDCCEB" w:rsidR="00FD2A8A" w:rsidRPr="00362CF8" w:rsidRDefault="004D3396" w:rsidP="00362CF8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 xml:space="preserve">13. </w:t>
            </w:r>
            <w:r w:rsidR="00FD2A8A" w:rsidRPr="00362CF8">
              <w:rPr>
                <w:rFonts w:ascii="Titillium Web" w:hAnsi="Titillium Web"/>
                <w:szCs w:val="24"/>
              </w:rPr>
              <w:t>Piatto di produzione locale (IG 22130; ceramica depurata)</w:t>
            </w:r>
          </w:p>
          <w:p w14:paraId="42DCD19E" w14:textId="5D285E43" w:rsidR="00FD2A8A" w:rsidRPr="00362CF8" w:rsidRDefault="00B03C06" w:rsidP="00362CF8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 xml:space="preserve">14. </w:t>
            </w:r>
            <w:r w:rsidR="00FD2A8A" w:rsidRPr="00362CF8">
              <w:rPr>
                <w:rFonts w:ascii="Titillium Web" w:hAnsi="Titillium Web"/>
                <w:szCs w:val="24"/>
              </w:rPr>
              <w:t>Piatto di produzione locale (IG 16042; ceramica depurata)</w:t>
            </w:r>
          </w:p>
          <w:p w14:paraId="2C626567" w14:textId="3A5F218F" w:rsidR="00FD2A8A" w:rsidRPr="00362CF8" w:rsidRDefault="00B03C06" w:rsidP="00362CF8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 xml:space="preserve">15. </w:t>
            </w:r>
            <w:r w:rsidR="00FD2A8A" w:rsidRPr="00362CF8">
              <w:rPr>
                <w:rFonts w:ascii="Titillium Web" w:hAnsi="Titillium Web"/>
                <w:szCs w:val="24"/>
              </w:rPr>
              <w:t>Piatto su alto piede di produzione locale (IG 651; ceramica depurata)</w:t>
            </w:r>
          </w:p>
          <w:p w14:paraId="5EE32F9C" w14:textId="34594101" w:rsidR="001B5504" w:rsidRPr="00362CF8" w:rsidRDefault="00B03C06" w:rsidP="00362CF8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 xml:space="preserve">16. </w:t>
            </w:r>
            <w:r w:rsidR="00FD2A8A" w:rsidRPr="00362CF8">
              <w:rPr>
                <w:rFonts w:ascii="Titillium Web" w:hAnsi="Titillium Web"/>
                <w:szCs w:val="24"/>
              </w:rPr>
              <w:t>Fibula (?) (IG 16043; ferro)</w:t>
            </w:r>
          </w:p>
        </w:tc>
      </w:tr>
      <w:tr w:rsidR="001B5504" w:rsidRPr="00362CF8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362C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2CF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5CFB48B2" w:rsidR="001B5504" w:rsidRPr="00362CF8" w:rsidRDefault="00362CF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362CF8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362C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2CF8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4E929466" w:rsidR="001B5504" w:rsidRPr="00362CF8" w:rsidRDefault="00830F1C" w:rsidP="00830F1C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 w:cs="Times New Roman"/>
                <w:szCs w:val="24"/>
              </w:rPr>
              <w:t>La composizione del corredo non consente, purtroppo, di confermare con certezza la natura del rito. In un secondo momento sono stati attribuiti al corredo numerosi reperti di importazione e di produzione locale</w:t>
            </w:r>
          </w:p>
        </w:tc>
      </w:tr>
      <w:tr w:rsidR="001B5504" w:rsidRPr="00362CF8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362C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2CF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362C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362CF8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362C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2CF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362C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362CF8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362C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2CF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362C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362CF8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362C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2CF8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362C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362CF8">
              <w:rPr>
                <w:rFonts w:ascii="Titillium Web" w:hAnsi="Titillium Web"/>
                <w:szCs w:val="24"/>
              </w:rPr>
              <w:t>Fine V – inizi IV sec. a.C.</w:t>
            </w:r>
          </w:p>
        </w:tc>
      </w:tr>
      <w:tr w:rsidR="001B5504" w:rsidRPr="00362CF8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362C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2CF8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1102C2B7" w:rsidR="001B5504" w:rsidRPr="00362CF8" w:rsidRDefault="00AF7ECC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362CF8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362C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2CF8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362C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230C8"/>
    <w:rsid w:val="001B5504"/>
    <w:rsid w:val="001F2833"/>
    <w:rsid w:val="0029024B"/>
    <w:rsid w:val="002977D7"/>
    <w:rsid w:val="002F1500"/>
    <w:rsid w:val="00362CF8"/>
    <w:rsid w:val="00472AF4"/>
    <w:rsid w:val="004D3396"/>
    <w:rsid w:val="0054647F"/>
    <w:rsid w:val="005B5AFF"/>
    <w:rsid w:val="0068458A"/>
    <w:rsid w:val="00710B38"/>
    <w:rsid w:val="007145BC"/>
    <w:rsid w:val="007D54CD"/>
    <w:rsid w:val="00830F1C"/>
    <w:rsid w:val="0088612F"/>
    <w:rsid w:val="00942E70"/>
    <w:rsid w:val="00943EAC"/>
    <w:rsid w:val="00950348"/>
    <w:rsid w:val="00975CA9"/>
    <w:rsid w:val="00997946"/>
    <w:rsid w:val="009E4922"/>
    <w:rsid w:val="00A52A70"/>
    <w:rsid w:val="00AF7ECC"/>
    <w:rsid w:val="00B03C06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128FE"/>
    <w:rsid w:val="00FD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18</cp:revision>
  <dcterms:created xsi:type="dcterms:W3CDTF">2026-04-28T14:33:00Z</dcterms:created>
  <dcterms:modified xsi:type="dcterms:W3CDTF">2026-05-18T08:16:00Z</dcterms:modified>
</cp:coreProperties>
</file>