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291</w:t>
      </w:r>
    </w:p>
    <w:tbl>
      <w:tblPr>
        <w:tblStyle w:val="Grigliatabella"/>
        <w:tblW w:w="5000" w:type="pct"/>
        <w:jc w:val="center"/>
        <w:tblLook w:val="04A0" w:firstRow="1" w:lastRow="0" w:firstColumn="1" w:lastColumn="0" w:noHBand="0" w:noVBand="1"/>
      </w:tblPr>
      <w:tblGrid>
        <w:gridCol w:w="2990"/>
        <w:gridCol w:w="6070"/>
      </w:tblGrid>
      <w:tr w:rsidR="0086297F" w:rsidRPr="00D029F4" w14:paraId="69604347" w14:textId="77777777" w:rsidTr="002665C6">
        <w:trPr>
          <w:jc w:val="center"/>
        </w:trPr>
        <w:tc>
          <w:tcPr>
            <w:tcW w:w="1650" w:type="pct"/>
            <w:vAlign w:val="center"/>
          </w:tcPr>
          <w:p w14:paraId="59258D49" w14:textId="77777777" w:rsidR="0086297F" w:rsidRPr="00D029F4" w:rsidRDefault="0086297F" w:rsidP="002665C6">
            <w:pPr>
              <w:jc w:val="center"/>
              <w:rPr>
                <w:rFonts w:ascii="Titillium Web" w:hAnsi="Titillium Web"/>
                <w:smallCaps/>
                <w:szCs w:val="24"/>
              </w:rPr>
            </w:pPr>
            <w:r w:rsidRPr="00D029F4">
              <w:rPr>
                <w:rFonts w:ascii="Titillium Web" w:hAnsi="Titillium Web"/>
                <w:smallCaps/>
                <w:szCs w:val="24"/>
              </w:rPr>
              <w:t>Anno di rinvenimento</w:t>
            </w:r>
          </w:p>
        </w:tc>
        <w:tc>
          <w:tcPr>
            <w:tcW w:w="3350" w:type="pct"/>
            <w:vAlign w:val="center"/>
          </w:tcPr>
          <w:p w14:paraId="10AA1E7C" w14:textId="59BFE2EE" w:rsidR="0086297F" w:rsidRPr="00D029F4" w:rsidRDefault="0086297F" w:rsidP="002665C6">
            <w:pPr>
              <w:jc w:val="center"/>
              <w:rPr>
                <w:rFonts w:ascii="Titillium Web" w:hAnsi="Titillium Web"/>
                <w:szCs w:val="24"/>
              </w:rPr>
            </w:pPr>
            <w:r w:rsidRPr="00D029F4">
              <w:rPr>
                <w:rFonts w:ascii="Titillium Web" w:hAnsi="Titillium Web"/>
                <w:szCs w:val="24"/>
              </w:rPr>
              <w:t>1924</w:t>
            </w:r>
          </w:p>
        </w:tc>
      </w:tr>
      <w:tr w:rsidR="0086297F" w:rsidRPr="00D029F4" w14:paraId="3B6B9C62" w14:textId="77777777" w:rsidTr="002665C6">
        <w:trPr>
          <w:jc w:val="center"/>
        </w:trPr>
        <w:tc>
          <w:tcPr>
            <w:tcW w:w="1650" w:type="pct"/>
            <w:vAlign w:val="center"/>
          </w:tcPr>
          <w:p w14:paraId="2D01D888" w14:textId="77777777" w:rsidR="0086297F" w:rsidRPr="00D029F4" w:rsidRDefault="0086297F" w:rsidP="002665C6">
            <w:pPr>
              <w:jc w:val="center"/>
              <w:rPr>
                <w:rFonts w:ascii="Titillium Web" w:hAnsi="Titillium Web"/>
                <w:smallCaps/>
                <w:szCs w:val="24"/>
              </w:rPr>
            </w:pPr>
            <w:r w:rsidRPr="00D029F4">
              <w:rPr>
                <w:rFonts w:ascii="Titillium Web" w:hAnsi="Titillium Web"/>
                <w:smallCaps/>
                <w:szCs w:val="24"/>
              </w:rPr>
              <w:t>Stato di conservazione della tomba</w:t>
            </w:r>
          </w:p>
        </w:tc>
        <w:tc>
          <w:tcPr>
            <w:tcW w:w="3350" w:type="pct"/>
            <w:vAlign w:val="center"/>
          </w:tcPr>
          <w:p w14:paraId="3ADC95CD" w14:textId="31719CCD" w:rsidR="0086297F" w:rsidRPr="00D029F4" w:rsidRDefault="0086297F" w:rsidP="002665C6">
            <w:pPr>
              <w:jc w:val="center"/>
              <w:rPr>
                <w:rFonts w:ascii="Titillium Web" w:hAnsi="Titillium Web"/>
                <w:szCs w:val="24"/>
              </w:rPr>
            </w:pPr>
            <w:r w:rsidRPr="00D029F4">
              <w:rPr>
                <w:rFonts w:ascii="Titillium Web" w:hAnsi="Titillium Web"/>
                <w:szCs w:val="24"/>
              </w:rPr>
              <w:t>Sconvolta</w:t>
            </w:r>
          </w:p>
        </w:tc>
      </w:tr>
      <w:tr w:rsidR="0086297F" w:rsidRPr="00D029F4" w14:paraId="3D165E1E" w14:textId="77777777" w:rsidTr="002665C6">
        <w:trPr>
          <w:jc w:val="center"/>
        </w:trPr>
        <w:tc>
          <w:tcPr>
            <w:tcW w:w="1650" w:type="pct"/>
            <w:vAlign w:val="center"/>
          </w:tcPr>
          <w:p w14:paraId="2A5B3D4F" w14:textId="77777777" w:rsidR="0086297F" w:rsidRPr="00D029F4" w:rsidRDefault="0086297F" w:rsidP="002665C6">
            <w:pPr>
              <w:jc w:val="center"/>
              <w:rPr>
                <w:rFonts w:ascii="Titillium Web" w:hAnsi="Titillium Web"/>
                <w:smallCaps/>
                <w:szCs w:val="24"/>
              </w:rPr>
            </w:pPr>
            <w:r w:rsidRPr="00D029F4">
              <w:rPr>
                <w:rFonts w:ascii="Titillium Web" w:hAnsi="Titillium Web"/>
                <w:smallCaps/>
                <w:szCs w:val="24"/>
              </w:rPr>
              <w:t>Rito di seppellimento</w:t>
            </w:r>
          </w:p>
        </w:tc>
        <w:tc>
          <w:tcPr>
            <w:tcW w:w="3350" w:type="pct"/>
            <w:vAlign w:val="center"/>
          </w:tcPr>
          <w:p w14:paraId="094BD426" w14:textId="6E99443A" w:rsidR="0086297F" w:rsidRPr="00D029F4" w:rsidRDefault="0086297F" w:rsidP="002665C6">
            <w:pPr>
              <w:jc w:val="center"/>
              <w:rPr>
                <w:rFonts w:ascii="Titillium Web" w:hAnsi="Titillium Web"/>
                <w:szCs w:val="24"/>
              </w:rPr>
            </w:pPr>
            <w:r w:rsidRPr="00D029F4">
              <w:rPr>
                <w:rFonts w:ascii="Titillium Web" w:hAnsi="Titillium Web"/>
                <w:szCs w:val="24"/>
              </w:rPr>
              <w:t>Inumazione</w:t>
            </w:r>
          </w:p>
        </w:tc>
      </w:tr>
      <w:tr w:rsidR="0086297F" w:rsidRPr="00D029F4" w14:paraId="44CADBCB" w14:textId="77777777" w:rsidTr="002665C6">
        <w:trPr>
          <w:jc w:val="center"/>
        </w:trPr>
        <w:tc>
          <w:tcPr>
            <w:tcW w:w="1650" w:type="pct"/>
            <w:vAlign w:val="center"/>
          </w:tcPr>
          <w:p w14:paraId="1E25741A" w14:textId="77777777" w:rsidR="0086297F" w:rsidRPr="00D029F4" w:rsidRDefault="0086297F" w:rsidP="002665C6">
            <w:pPr>
              <w:jc w:val="center"/>
              <w:rPr>
                <w:rFonts w:ascii="Titillium Web" w:hAnsi="Titillium Web"/>
                <w:smallCaps/>
                <w:szCs w:val="24"/>
              </w:rPr>
            </w:pPr>
            <w:r w:rsidRPr="00D029F4">
              <w:rPr>
                <w:rFonts w:ascii="Titillium Web" w:hAnsi="Titillium Web"/>
                <w:smallCaps/>
                <w:szCs w:val="24"/>
              </w:rPr>
              <w:t>Struttura tomba</w:t>
            </w:r>
          </w:p>
        </w:tc>
        <w:tc>
          <w:tcPr>
            <w:tcW w:w="3350" w:type="pct"/>
            <w:vAlign w:val="center"/>
          </w:tcPr>
          <w:p w14:paraId="1DE3BCB3" w14:textId="08DB6A85" w:rsidR="0086297F" w:rsidRPr="00D029F4" w:rsidRDefault="0086297F" w:rsidP="002665C6">
            <w:pPr>
              <w:jc w:val="center"/>
              <w:rPr>
                <w:rFonts w:ascii="Titillium Web" w:hAnsi="Titillium Web"/>
                <w:szCs w:val="24"/>
              </w:rPr>
            </w:pPr>
            <w:r w:rsidRPr="00D029F4">
              <w:rPr>
                <w:rFonts w:ascii="Titillium Web" w:hAnsi="Titillium Web"/>
                <w:szCs w:val="24"/>
              </w:rPr>
              <w:t>fossa semplice, forma non registrata</w:t>
            </w:r>
          </w:p>
        </w:tc>
      </w:tr>
      <w:tr w:rsidR="0086297F" w:rsidRPr="00D029F4" w14:paraId="47E1F943" w14:textId="77777777" w:rsidTr="002665C6">
        <w:trPr>
          <w:jc w:val="center"/>
        </w:trPr>
        <w:tc>
          <w:tcPr>
            <w:tcW w:w="1650" w:type="pct"/>
            <w:vAlign w:val="center"/>
          </w:tcPr>
          <w:p w14:paraId="355EE080" w14:textId="77777777" w:rsidR="0086297F" w:rsidRPr="00D029F4" w:rsidRDefault="0086297F" w:rsidP="002665C6">
            <w:pPr>
              <w:jc w:val="center"/>
              <w:rPr>
                <w:rFonts w:ascii="Titillium Web" w:hAnsi="Titillium Web"/>
                <w:smallCaps/>
                <w:szCs w:val="24"/>
              </w:rPr>
            </w:pPr>
            <w:r w:rsidRPr="00D029F4">
              <w:rPr>
                <w:rFonts w:ascii="Titillium Web" w:hAnsi="Titillium Web"/>
                <w:smallCaps/>
                <w:szCs w:val="24"/>
              </w:rPr>
              <w:t xml:space="preserve">Profondità dal piano di campagna </w:t>
            </w:r>
          </w:p>
        </w:tc>
        <w:tc>
          <w:tcPr>
            <w:tcW w:w="3350" w:type="pct"/>
            <w:vAlign w:val="center"/>
          </w:tcPr>
          <w:p w14:paraId="13D75B9B" w14:textId="6492371F" w:rsidR="0086297F" w:rsidRPr="00D029F4" w:rsidRDefault="0086297F" w:rsidP="002665C6">
            <w:pPr>
              <w:jc w:val="center"/>
              <w:rPr>
                <w:rFonts w:ascii="Titillium Web" w:hAnsi="Titillium Web"/>
                <w:szCs w:val="24"/>
              </w:rPr>
            </w:pPr>
            <w:r w:rsidRPr="00D029F4">
              <w:rPr>
                <w:rFonts w:ascii="Titillium Web" w:hAnsi="Titillium Web"/>
                <w:szCs w:val="24"/>
              </w:rPr>
              <w:t>0,7 m</w:t>
            </w:r>
          </w:p>
        </w:tc>
      </w:tr>
      <w:tr w:rsidR="0086297F" w:rsidRPr="00D029F4" w14:paraId="75BC79FE" w14:textId="77777777" w:rsidTr="002665C6">
        <w:trPr>
          <w:jc w:val="center"/>
        </w:trPr>
        <w:tc>
          <w:tcPr>
            <w:tcW w:w="1650" w:type="pct"/>
            <w:vAlign w:val="center"/>
          </w:tcPr>
          <w:p w14:paraId="432462C5" w14:textId="77777777" w:rsidR="0086297F" w:rsidRPr="00D029F4" w:rsidRDefault="0086297F" w:rsidP="002665C6">
            <w:pPr>
              <w:jc w:val="center"/>
              <w:rPr>
                <w:rFonts w:ascii="Titillium Web" w:hAnsi="Titillium Web"/>
                <w:smallCaps/>
                <w:szCs w:val="24"/>
              </w:rPr>
            </w:pPr>
            <w:r w:rsidRPr="00D029F4">
              <w:rPr>
                <w:rFonts w:ascii="Titillium Web" w:hAnsi="Titillium Web"/>
                <w:smallCaps/>
                <w:szCs w:val="24"/>
              </w:rPr>
              <w:t>Dimensioni della sepoltura</w:t>
            </w:r>
          </w:p>
        </w:tc>
        <w:tc>
          <w:tcPr>
            <w:tcW w:w="3350" w:type="pct"/>
            <w:vAlign w:val="center"/>
          </w:tcPr>
          <w:p w14:paraId="65EDFAD4" w14:textId="5859930D" w:rsidR="0086297F" w:rsidRPr="00D029F4" w:rsidRDefault="0086297F" w:rsidP="002665C6">
            <w:pPr>
              <w:jc w:val="center"/>
              <w:rPr>
                <w:rFonts w:ascii="Titillium Web" w:hAnsi="Titillium Web"/>
                <w:szCs w:val="24"/>
              </w:rPr>
            </w:pPr>
            <w:r w:rsidRPr="00D029F4">
              <w:rPr>
                <w:rFonts w:ascii="Titillium Web" w:hAnsi="Titillium Web"/>
                <w:szCs w:val="24"/>
              </w:rPr>
              <w:t>Dimensioni non registrate</w:t>
            </w:r>
          </w:p>
        </w:tc>
      </w:tr>
      <w:tr w:rsidR="0086297F" w:rsidRPr="00D029F4" w14:paraId="35E5C09E" w14:textId="77777777" w:rsidTr="002665C6">
        <w:trPr>
          <w:jc w:val="center"/>
        </w:trPr>
        <w:tc>
          <w:tcPr>
            <w:tcW w:w="1650" w:type="pct"/>
            <w:vAlign w:val="center"/>
          </w:tcPr>
          <w:p w14:paraId="5AA10374" w14:textId="77777777" w:rsidR="0086297F" w:rsidRPr="00D029F4" w:rsidRDefault="0086297F" w:rsidP="002665C6">
            <w:pPr>
              <w:jc w:val="center"/>
              <w:rPr>
                <w:rFonts w:ascii="Titillium Web" w:hAnsi="Titillium Web"/>
                <w:smallCaps/>
                <w:szCs w:val="24"/>
              </w:rPr>
            </w:pPr>
            <w:r w:rsidRPr="00D029F4">
              <w:rPr>
                <w:rFonts w:ascii="Titillium Web" w:hAnsi="Titillium Web"/>
                <w:smallCaps/>
                <w:szCs w:val="24"/>
              </w:rPr>
              <w:t>Orientamento dello scheletro</w:t>
            </w:r>
          </w:p>
        </w:tc>
        <w:tc>
          <w:tcPr>
            <w:tcW w:w="3350" w:type="pct"/>
            <w:vAlign w:val="center"/>
          </w:tcPr>
          <w:p w14:paraId="6E0E4E7B" w14:textId="7F6B3E0C" w:rsidR="0086297F" w:rsidRPr="00D029F4" w:rsidRDefault="0086297F" w:rsidP="002665C6">
            <w:pPr>
              <w:jc w:val="center"/>
              <w:rPr>
                <w:rFonts w:ascii="Titillium Web" w:hAnsi="Titillium Web"/>
                <w:szCs w:val="24"/>
              </w:rPr>
            </w:pPr>
            <w:r w:rsidRPr="00D029F4">
              <w:rPr>
                <w:rFonts w:ascii="Titillium Web" w:hAnsi="Titillium Web"/>
                <w:szCs w:val="24"/>
              </w:rPr>
              <w:t>NW-SE</w:t>
            </w:r>
          </w:p>
        </w:tc>
      </w:tr>
      <w:tr w:rsidR="0086297F" w:rsidRPr="00D029F4" w14:paraId="71236441" w14:textId="77777777" w:rsidTr="002665C6">
        <w:trPr>
          <w:jc w:val="center"/>
        </w:trPr>
        <w:tc>
          <w:tcPr>
            <w:tcW w:w="1650" w:type="pct"/>
            <w:vAlign w:val="center"/>
          </w:tcPr>
          <w:p w14:paraId="4A1B31A8" w14:textId="77777777" w:rsidR="0086297F" w:rsidRPr="00D029F4" w:rsidRDefault="0086297F" w:rsidP="002665C6">
            <w:pPr>
              <w:jc w:val="center"/>
              <w:rPr>
                <w:rFonts w:ascii="Titillium Web" w:hAnsi="Titillium Web"/>
                <w:smallCaps/>
                <w:szCs w:val="24"/>
              </w:rPr>
            </w:pPr>
            <w:r w:rsidRPr="00D029F4">
              <w:rPr>
                <w:rFonts w:ascii="Titillium Web" w:hAnsi="Titillium Web"/>
                <w:smallCaps/>
                <w:szCs w:val="24"/>
              </w:rPr>
              <w:t>Segnacolo</w:t>
            </w:r>
          </w:p>
        </w:tc>
        <w:tc>
          <w:tcPr>
            <w:tcW w:w="3350" w:type="pct"/>
            <w:vAlign w:val="center"/>
          </w:tcPr>
          <w:p w14:paraId="104CE615" w14:textId="50385AE1" w:rsidR="0086297F" w:rsidRPr="00D029F4" w:rsidRDefault="0086297F" w:rsidP="002665C6">
            <w:pPr>
              <w:jc w:val="center"/>
              <w:rPr>
                <w:rFonts w:ascii="Titillium Web" w:hAnsi="Titillium Web"/>
                <w:szCs w:val="24"/>
              </w:rPr>
            </w:pPr>
            <w:r w:rsidRPr="00D029F4">
              <w:rPr>
                <w:rFonts w:ascii="Titillium Web" w:hAnsi="Titillium Web"/>
                <w:szCs w:val="24"/>
              </w:rPr>
              <w:t>/</w:t>
            </w:r>
          </w:p>
        </w:tc>
      </w:tr>
      <w:tr w:rsidR="0086297F" w:rsidRPr="00D029F4" w14:paraId="6D6CBA71" w14:textId="77777777" w:rsidTr="002665C6">
        <w:trPr>
          <w:jc w:val="center"/>
        </w:trPr>
        <w:tc>
          <w:tcPr>
            <w:tcW w:w="1650" w:type="pct"/>
            <w:vAlign w:val="center"/>
          </w:tcPr>
          <w:p w14:paraId="75CA0D64" w14:textId="77777777" w:rsidR="0086297F" w:rsidRPr="00D029F4" w:rsidRDefault="0086297F" w:rsidP="002665C6">
            <w:pPr>
              <w:jc w:val="center"/>
              <w:rPr>
                <w:rFonts w:ascii="Titillium Web" w:hAnsi="Titillium Web"/>
                <w:smallCaps/>
                <w:szCs w:val="24"/>
              </w:rPr>
            </w:pPr>
            <w:r w:rsidRPr="00D029F4">
              <w:rPr>
                <w:rFonts w:ascii="Titillium Web" w:hAnsi="Titillium Web"/>
                <w:smallCaps/>
                <w:szCs w:val="24"/>
              </w:rPr>
              <w:t>Giornale di scavo</w:t>
            </w:r>
          </w:p>
        </w:tc>
        <w:tc>
          <w:tcPr>
            <w:tcW w:w="3350" w:type="pct"/>
            <w:vAlign w:val="center"/>
          </w:tcPr>
          <w:p w14:paraId="2116D363" w14:textId="77777777" w:rsidR="00140457" w:rsidRPr="00D029F4" w:rsidRDefault="00000000">
            <w:pPr>
              <w:rPr>
                <w:rFonts w:ascii="Titillium Web" w:hAnsi="Titillium Web"/>
                <w:i/>
                <w:iCs/>
                <w:szCs w:val="24"/>
              </w:rPr>
            </w:pPr>
            <w:r w:rsidRPr="00D029F4">
              <w:rPr>
                <w:rFonts w:ascii="Titillium Web" w:hAnsi="Titillium Web"/>
                <w:i/>
                <w:iCs/>
                <w:szCs w:val="24"/>
              </w:rPr>
              <w:t>Tomba 291 - scheletro – scomposto –</w:t>
            </w:r>
          </w:p>
          <w:p w14:paraId="4E187A59" w14:textId="6DFE6B26" w:rsidR="00140457" w:rsidRPr="00D029F4" w:rsidRDefault="00000000">
            <w:pPr>
              <w:rPr>
                <w:rFonts w:ascii="Titillium Web" w:hAnsi="Titillium Web"/>
                <w:i/>
                <w:iCs/>
                <w:szCs w:val="24"/>
              </w:rPr>
            </w:pPr>
            <w:r w:rsidRPr="00D029F4">
              <w:rPr>
                <w:rFonts w:ascii="Titillium Web" w:hAnsi="Titillium Web"/>
                <w:i/>
                <w:iCs/>
                <w:szCs w:val="24"/>
              </w:rPr>
              <w:t>Approfittando della venuta sullo scavo dell’Ispettore ho eseguito con 3 uomini un saggio di scavo sulla parte del limite Nord dello stesso scavo (f.) ove avevo rinvenuto l’ultima tomba 252 (con scarabeo) ed avevo poi abbandonato momentaneamente poiché non rinvenimmo più tombe intatte, ma soltanto grande quantità di ossa umane e di animali; e frammenti di doliacci e vasi rozzi.</w:t>
            </w:r>
          </w:p>
          <w:p w14:paraId="1C1A91AF" w14:textId="77777777" w:rsidR="00140457" w:rsidRPr="00D029F4" w:rsidRDefault="00000000">
            <w:pPr>
              <w:rPr>
                <w:rFonts w:ascii="Titillium Web" w:hAnsi="Titillium Web"/>
                <w:i/>
                <w:iCs/>
                <w:szCs w:val="24"/>
              </w:rPr>
            </w:pPr>
            <w:r w:rsidRPr="00D029F4">
              <w:rPr>
                <w:rFonts w:ascii="Titillium Web" w:hAnsi="Titillium Web"/>
                <w:i/>
                <w:iCs/>
                <w:szCs w:val="24"/>
              </w:rPr>
              <w:t>A m. 26 dallo scolo B e a m. 16 dal limite nord dello scavo dell’ottobre scorso, a m. 0,70 giaceva uno scheletro scomposto con ossa (femori e tibie) molto grandi.</w:t>
            </w:r>
          </w:p>
          <w:p w14:paraId="1E82DCCA" w14:textId="4F567E17" w:rsidR="00140457" w:rsidRPr="00D029F4" w:rsidRDefault="00000000">
            <w:pPr>
              <w:rPr>
                <w:rFonts w:ascii="Titillium Web" w:hAnsi="Titillium Web"/>
                <w:i/>
                <w:iCs/>
                <w:szCs w:val="24"/>
              </w:rPr>
            </w:pPr>
            <w:r w:rsidRPr="00D029F4">
              <w:rPr>
                <w:rFonts w:ascii="Titillium Web" w:hAnsi="Titillium Web"/>
                <w:i/>
                <w:iCs/>
                <w:szCs w:val="24"/>
              </w:rPr>
              <w:t>La testa giaceva a pon. del corpo, e lo scheletro quasi fosse in posizione di rannicchiato sebbene</w:t>
            </w:r>
          </w:p>
          <w:p w14:paraId="1D5D006F" w14:textId="77777777" w:rsidR="00140457" w:rsidRPr="00D029F4" w:rsidRDefault="00000000">
            <w:pPr>
              <w:rPr>
                <w:rFonts w:ascii="Titillium Web" w:hAnsi="Titillium Web"/>
                <w:i/>
                <w:iCs/>
                <w:szCs w:val="24"/>
              </w:rPr>
            </w:pPr>
            <w:r w:rsidRPr="00D029F4">
              <w:rPr>
                <w:rFonts w:ascii="Titillium Web" w:hAnsi="Titillium Web"/>
                <w:i/>
                <w:iCs/>
                <w:szCs w:val="24"/>
              </w:rPr>
              <w:t>La testa giaceva a pon. del corpo, e lo scheletro quasi fosse in posizione di rannicchiato serbava un orientamento da N.O a S.E.</w:t>
            </w:r>
          </w:p>
          <w:p w14:paraId="13E66E01" w14:textId="77777777" w:rsidR="00140457" w:rsidRPr="00D029F4" w:rsidRDefault="00000000">
            <w:pPr>
              <w:rPr>
                <w:rFonts w:ascii="Titillium Web" w:hAnsi="Titillium Web"/>
                <w:i/>
                <w:iCs/>
                <w:szCs w:val="24"/>
              </w:rPr>
            </w:pPr>
            <w:r w:rsidRPr="00D029F4">
              <w:rPr>
                <w:rFonts w:ascii="Titillium Web" w:hAnsi="Titillium Web"/>
                <w:i/>
                <w:iCs/>
                <w:szCs w:val="24"/>
              </w:rPr>
              <w:t>Presso lo scheletro nulla si raccolse.</w:t>
            </w:r>
          </w:p>
        </w:tc>
      </w:tr>
      <w:tr w:rsidR="0086297F" w:rsidRPr="00D029F4" w14:paraId="1429C2F3" w14:textId="77777777" w:rsidTr="002665C6">
        <w:trPr>
          <w:jc w:val="center"/>
        </w:trPr>
        <w:tc>
          <w:tcPr>
            <w:tcW w:w="1650" w:type="pct"/>
            <w:vAlign w:val="center"/>
          </w:tcPr>
          <w:p w14:paraId="7F398080" w14:textId="77777777" w:rsidR="0086297F" w:rsidRPr="00D029F4" w:rsidRDefault="0086297F" w:rsidP="002665C6">
            <w:pPr>
              <w:jc w:val="center"/>
              <w:rPr>
                <w:rFonts w:ascii="Titillium Web" w:hAnsi="Titillium Web"/>
                <w:smallCaps/>
                <w:szCs w:val="24"/>
              </w:rPr>
            </w:pPr>
            <w:r w:rsidRPr="00D029F4">
              <w:rPr>
                <w:rFonts w:ascii="Titillium Web" w:hAnsi="Titillium Web"/>
                <w:smallCaps/>
                <w:szCs w:val="24"/>
              </w:rPr>
              <w:t>Posizione del corredo</w:t>
            </w:r>
          </w:p>
        </w:tc>
        <w:tc>
          <w:tcPr>
            <w:tcW w:w="3350" w:type="pct"/>
            <w:vAlign w:val="center"/>
          </w:tcPr>
          <w:p w14:paraId="5C03ADA7" w14:textId="7BF3AD8D" w:rsidR="0086297F" w:rsidRPr="00D029F4" w:rsidRDefault="0086297F" w:rsidP="002665C6">
            <w:pPr>
              <w:jc w:val="center"/>
              <w:rPr>
                <w:rFonts w:ascii="Titillium Web" w:hAnsi="Titillium Web"/>
                <w:szCs w:val="24"/>
              </w:rPr>
            </w:pPr>
            <w:r w:rsidRPr="00D029F4">
              <w:rPr>
                <w:rFonts w:ascii="Titillium Web" w:hAnsi="Titillium Web"/>
                <w:szCs w:val="24"/>
              </w:rPr>
              <w:t>Nessun oggetto rinvenuto</w:t>
            </w:r>
          </w:p>
        </w:tc>
      </w:tr>
      <w:tr w:rsidR="0086297F" w:rsidRPr="00D029F4" w14:paraId="71A0E4AF" w14:textId="77777777" w:rsidTr="002665C6">
        <w:trPr>
          <w:jc w:val="center"/>
        </w:trPr>
        <w:tc>
          <w:tcPr>
            <w:tcW w:w="1650" w:type="pct"/>
            <w:vAlign w:val="center"/>
          </w:tcPr>
          <w:p w14:paraId="2128B19B" w14:textId="77777777" w:rsidR="0086297F" w:rsidRPr="00D029F4" w:rsidRDefault="0086297F" w:rsidP="002665C6">
            <w:pPr>
              <w:jc w:val="center"/>
              <w:rPr>
                <w:rFonts w:ascii="Titillium Web" w:hAnsi="Titillium Web"/>
                <w:smallCaps/>
                <w:szCs w:val="24"/>
              </w:rPr>
            </w:pPr>
            <w:r w:rsidRPr="00D029F4">
              <w:rPr>
                <w:rFonts w:ascii="Titillium Web" w:hAnsi="Titillium Web"/>
                <w:smallCaps/>
                <w:szCs w:val="24"/>
              </w:rPr>
              <w:t>Genere (legato all’analisi del corredo)</w:t>
            </w:r>
          </w:p>
        </w:tc>
        <w:tc>
          <w:tcPr>
            <w:tcW w:w="3350" w:type="pct"/>
            <w:vAlign w:val="center"/>
          </w:tcPr>
          <w:p w14:paraId="31324C2B" w14:textId="4E55E405" w:rsidR="0086297F" w:rsidRPr="00D029F4" w:rsidRDefault="0086297F" w:rsidP="002665C6">
            <w:pPr>
              <w:jc w:val="center"/>
              <w:rPr>
                <w:rFonts w:ascii="Titillium Web" w:hAnsi="Titillium Web"/>
                <w:szCs w:val="24"/>
              </w:rPr>
            </w:pPr>
            <w:r w:rsidRPr="00D029F4">
              <w:rPr>
                <w:rFonts w:ascii="Titillium Web" w:hAnsi="Titillium Web"/>
                <w:szCs w:val="24"/>
              </w:rPr>
              <w:t>Non determinabile</w:t>
            </w:r>
          </w:p>
        </w:tc>
      </w:tr>
      <w:tr w:rsidR="0086297F" w:rsidRPr="00D029F4" w14:paraId="17633947" w14:textId="77777777" w:rsidTr="002665C6">
        <w:trPr>
          <w:jc w:val="center"/>
        </w:trPr>
        <w:tc>
          <w:tcPr>
            <w:tcW w:w="1650" w:type="pct"/>
            <w:vAlign w:val="center"/>
          </w:tcPr>
          <w:p w14:paraId="44721053" w14:textId="77777777" w:rsidR="0086297F" w:rsidRPr="00D029F4" w:rsidRDefault="0086297F" w:rsidP="002665C6">
            <w:pPr>
              <w:jc w:val="center"/>
              <w:rPr>
                <w:rFonts w:ascii="Titillium Web" w:hAnsi="Titillium Web"/>
                <w:smallCaps/>
                <w:szCs w:val="24"/>
              </w:rPr>
            </w:pPr>
            <w:r w:rsidRPr="00D029F4">
              <w:rPr>
                <w:rFonts w:ascii="Titillium Web" w:hAnsi="Titillium Web"/>
                <w:smallCaps/>
                <w:szCs w:val="24"/>
              </w:rPr>
              <w:t>Sesso (legato alle analisi antropologiche)</w:t>
            </w:r>
          </w:p>
        </w:tc>
        <w:tc>
          <w:tcPr>
            <w:tcW w:w="3350" w:type="pct"/>
            <w:vAlign w:val="center"/>
          </w:tcPr>
          <w:p w14:paraId="66E918A4" w14:textId="50197FF0" w:rsidR="0086297F" w:rsidRPr="00D029F4" w:rsidRDefault="0086297F" w:rsidP="002665C6">
            <w:pPr>
              <w:jc w:val="center"/>
              <w:rPr>
                <w:rFonts w:ascii="Titillium Web" w:hAnsi="Titillium Web"/>
                <w:szCs w:val="24"/>
              </w:rPr>
            </w:pPr>
            <w:r w:rsidRPr="00D029F4">
              <w:rPr>
                <w:rFonts w:ascii="Titillium Web" w:hAnsi="Titillium Web"/>
                <w:szCs w:val="24"/>
              </w:rPr>
              <w:t>Maschile</w:t>
            </w:r>
          </w:p>
        </w:tc>
      </w:tr>
      <w:tr w:rsidR="0086297F" w:rsidRPr="00D029F4" w14:paraId="0588946D" w14:textId="77777777" w:rsidTr="002665C6">
        <w:trPr>
          <w:jc w:val="center"/>
        </w:trPr>
        <w:tc>
          <w:tcPr>
            <w:tcW w:w="1650" w:type="pct"/>
            <w:vAlign w:val="center"/>
          </w:tcPr>
          <w:p w14:paraId="54990945" w14:textId="77777777" w:rsidR="0086297F" w:rsidRPr="00D029F4" w:rsidRDefault="0086297F" w:rsidP="002665C6">
            <w:pPr>
              <w:jc w:val="center"/>
              <w:rPr>
                <w:rFonts w:ascii="Titillium Web" w:hAnsi="Titillium Web"/>
                <w:smallCaps/>
                <w:szCs w:val="24"/>
              </w:rPr>
            </w:pPr>
            <w:r w:rsidRPr="00D029F4">
              <w:rPr>
                <w:rFonts w:ascii="Titillium Web" w:hAnsi="Titillium Web"/>
                <w:smallCaps/>
                <w:szCs w:val="24"/>
              </w:rPr>
              <w:t>Classi di età</w:t>
            </w:r>
          </w:p>
        </w:tc>
        <w:tc>
          <w:tcPr>
            <w:tcW w:w="3350" w:type="pct"/>
            <w:vAlign w:val="center"/>
          </w:tcPr>
          <w:p w14:paraId="0E0589EA" w14:textId="7D4DF825" w:rsidR="0086297F" w:rsidRPr="00D029F4" w:rsidRDefault="0086297F" w:rsidP="002665C6">
            <w:pPr>
              <w:jc w:val="center"/>
              <w:rPr>
                <w:rFonts w:ascii="Titillium Web" w:hAnsi="Titillium Web"/>
                <w:szCs w:val="24"/>
              </w:rPr>
            </w:pPr>
            <w:r w:rsidRPr="00D029F4">
              <w:rPr>
                <w:rFonts w:ascii="Titillium Web" w:hAnsi="Titillium Web"/>
                <w:szCs w:val="24"/>
              </w:rPr>
              <w:t>Adulto</w:t>
            </w:r>
          </w:p>
        </w:tc>
      </w:tr>
      <w:tr w:rsidR="0086297F" w:rsidRPr="00D029F4" w14:paraId="1FFA88A1" w14:textId="77777777" w:rsidTr="002665C6">
        <w:trPr>
          <w:jc w:val="center"/>
        </w:trPr>
        <w:tc>
          <w:tcPr>
            <w:tcW w:w="1650" w:type="pct"/>
            <w:vAlign w:val="center"/>
          </w:tcPr>
          <w:p w14:paraId="63B2D8D6" w14:textId="77777777" w:rsidR="0086297F" w:rsidRPr="00D029F4" w:rsidRDefault="0086297F" w:rsidP="002665C6">
            <w:pPr>
              <w:jc w:val="center"/>
              <w:rPr>
                <w:rFonts w:ascii="Titillium Web" w:hAnsi="Titillium Web"/>
                <w:smallCaps/>
                <w:szCs w:val="24"/>
              </w:rPr>
            </w:pPr>
            <w:r w:rsidRPr="00D029F4">
              <w:rPr>
                <w:rFonts w:ascii="Titillium Web" w:hAnsi="Titillium Web"/>
                <w:smallCaps/>
                <w:szCs w:val="24"/>
              </w:rPr>
              <w:t>Bibliografia essenziale</w:t>
            </w:r>
          </w:p>
        </w:tc>
        <w:tc>
          <w:tcPr>
            <w:tcW w:w="3350" w:type="pct"/>
            <w:vAlign w:val="center"/>
          </w:tcPr>
          <w:p w14:paraId="0A16E160" w14:textId="77777777" w:rsidR="00140457" w:rsidRPr="00D029F4" w:rsidRDefault="00000000" w:rsidP="00D029F4">
            <w:pPr>
              <w:jc w:val="center"/>
              <w:rPr>
                <w:rFonts w:ascii="Titillium Web" w:hAnsi="Titillium Web"/>
                <w:szCs w:val="24"/>
              </w:rPr>
            </w:pPr>
            <w:r w:rsidRPr="00D029F4">
              <w:rPr>
                <w:rFonts w:ascii="Titillium Web" w:eastAsia="Titillium" w:hAnsi="Titillium Web" w:cs="Titillium"/>
                <w:smallCaps/>
                <w:szCs w:val="24"/>
              </w:rPr>
              <w:t>Natalucci</w:t>
            </w:r>
            <w:r w:rsidRPr="00D029F4">
              <w:rPr>
                <w:rFonts w:ascii="Titillium Web" w:eastAsia="Titillium" w:hAnsi="Titillium Web" w:cs="Titillium"/>
                <w:szCs w:val="24"/>
              </w:rPr>
              <w:t xml:space="preserve"> 2014-2015</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40457"/>
    <w:rsid w:val="001C17CC"/>
    <w:rsid w:val="002977D7"/>
    <w:rsid w:val="00472AF4"/>
    <w:rsid w:val="00551AF8"/>
    <w:rsid w:val="005B5AFF"/>
    <w:rsid w:val="006162A4"/>
    <w:rsid w:val="006346F7"/>
    <w:rsid w:val="006D6EFB"/>
    <w:rsid w:val="007145BC"/>
    <w:rsid w:val="0086297F"/>
    <w:rsid w:val="009E4922"/>
    <w:rsid w:val="00AB321D"/>
    <w:rsid w:val="00B165C4"/>
    <w:rsid w:val="00C21EE0"/>
    <w:rsid w:val="00D029F4"/>
    <w:rsid w:val="00D414B7"/>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212</Words>
  <Characters>1211</Characters>
  <Application>Microsoft Office Word</Application>
  <DocSecurity>0</DocSecurity>
  <Lines>10</Lines>
  <Paragraphs>2</Paragraphs>
  <ScaleCrop>false</ScaleCrop>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2026-05-15T19:55:00Z</dcterms:modified>
</cp:coreProperties>
</file>