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1005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E1005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1005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1005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1005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E1005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1005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1005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1005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EC65D8" w14:textId="361506EC" w:rsidR="00DC752F" w:rsidRPr="00E1005F" w:rsidRDefault="006335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005F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r w:rsidR="00E1005F" w:rsidRPr="00E1005F">
              <w:rPr>
                <w:rFonts w:ascii="Titillium Web" w:hAnsi="Titillium Web"/>
                <w:i/>
                <w:iCs/>
                <w:szCs w:val="24"/>
              </w:rPr>
              <w:t>294 a</w:t>
            </w:r>
            <w:r w:rsidRPr="00E1005F">
              <w:rPr>
                <w:rFonts w:ascii="Titillium Web" w:hAnsi="Titillium Web"/>
                <w:i/>
                <w:iCs/>
                <w:szCs w:val="24"/>
              </w:rPr>
              <w:t xml:space="preserve"> cremazione</w:t>
            </w:r>
          </w:p>
          <w:p w14:paraId="0C0BFB98" w14:textId="77777777" w:rsidR="00DC752F" w:rsidRPr="00E1005F" w:rsidRDefault="006335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005F">
              <w:rPr>
                <w:rFonts w:ascii="Titillium Web" w:hAnsi="Titillium Web"/>
                <w:i/>
                <w:iCs/>
                <w:szCs w:val="24"/>
              </w:rPr>
              <w:t>A m. 2 a sud dalla precedente, a m. 0,95 di profondità posava un doliaccio schiacciato e marcito - Era di impasto grossolano e male cotto; in fondo fra le ossa combuste era:</w:t>
            </w:r>
          </w:p>
          <w:p w14:paraId="42BFADD1" w14:textId="77777777" w:rsidR="00DC752F" w:rsidRPr="00E1005F" w:rsidRDefault="006335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005F">
              <w:rPr>
                <w:rFonts w:ascii="Titillium Web" w:hAnsi="Titillium Web"/>
                <w:i/>
                <w:iCs/>
                <w:szCs w:val="24"/>
              </w:rPr>
              <w:t>1 oinocoe a forma di fiasca, di argilla giallo chiara, a bocca trilobata ed ansa verticale, con disegni di palmette e di un testone.</w:t>
            </w:r>
          </w:p>
          <w:p w14:paraId="4E7BFC39" w14:textId="77777777" w:rsidR="00DC752F" w:rsidRPr="00E1005F" w:rsidRDefault="006335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005F">
              <w:rPr>
                <w:rFonts w:ascii="Titillium Web" w:hAnsi="Titillium Web"/>
                <w:i/>
                <w:iCs/>
                <w:szCs w:val="24"/>
              </w:rPr>
              <w:t>È frammentato nell’ansa. alto 0,24</w:t>
            </w:r>
          </w:p>
          <w:p w14:paraId="0587F39F" w14:textId="77777777" w:rsidR="00DC752F" w:rsidRPr="00E1005F" w:rsidRDefault="006335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1005F">
              <w:rPr>
                <w:rFonts w:ascii="Titillium Web" w:hAnsi="Titillium Web"/>
                <w:i/>
                <w:iCs/>
                <w:szCs w:val="24"/>
              </w:rPr>
              <w:t>Il dolio non fu raccolto</w:t>
            </w:r>
          </w:p>
        </w:tc>
      </w:tr>
      <w:tr w:rsidR="0086297F" w:rsidRPr="00E1005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E1005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005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005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100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1005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100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1005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B99D73A" w14:textId="77777777" w:rsidR="00DC752F" w:rsidRPr="00E1005F" w:rsidRDefault="0063352C" w:rsidP="00E1005F">
            <w:pPr>
              <w:jc w:val="center"/>
              <w:rPr>
                <w:rFonts w:ascii="Titillium Web" w:hAnsi="Titillium Web"/>
                <w:szCs w:val="24"/>
              </w:rPr>
            </w:pPr>
            <w:r w:rsidRPr="00E1005F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E1005F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E7A7D"/>
    <w:rsid w:val="00D900AB"/>
    <w:rsid w:val="00D936E8"/>
    <w:rsid w:val="00DC752F"/>
    <w:rsid w:val="00E1005F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2026-05-15T19:53:00Z</dcterms:modified>
</cp:coreProperties>
</file>