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BF7CD9" w14:textId="29CC0BD8" w:rsidR="0086297F" w:rsidRPr="00042C80" w:rsidRDefault="0086297F" w:rsidP="0086297F">
      <w:pPr>
        <w:jc w:val="center"/>
        <w:rPr>
          <w:rFonts w:ascii="Titillium Web" w:hAnsi="Titillium Web"/>
          <w:b/>
          <w:bCs/>
          <w:sz w:val="28"/>
          <w:szCs w:val="24"/>
        </w:rPr>
      </w:pPr>
      <w:r w:rsidRPr="00042C80">
        <w:rPr>
          <w:rFonts w:ascii="Titillium Web" w:hAnsi="Titillium Web"/>
          <w:b/>
          <w:bCs/>
          <w:sz w:val="28"/>
          <w:szCs w:val="24"/>
        </w:rPr>
        <w:t>Valle Trebba – Tomba 298</w:t>
      </w:r>
    </w:p>
    <w:tbl>
      <w:tblPr>
        <w:tblStyle w:val="Grigliatabella"/>
        <w:tblW w:w="5000" w:type="pct"/>
        <w:jc w:val="center"/>
        <w:tblLook w:val="04A0" w:firstRow="1" w:lastRow="0" w:firstColumn="1" w:lastColumn="0" w:noHBand="0" w:noVBand="1"/>
      </w:tblPr>
      <w:tblGrid>
        <w:gridCol w:w="2990"/>
        <w:gridCol w:w="6070"/>
      </w:tblGrid>
      <w:tr w:rsidR="0086297F" w:rsidRPr="0065198B" w14:paraId="69604347" w14:textId="77777777" w:rsidTr="002665C6">
        <w:trPr>
          <w:jc w:val="center"/>
        </w:trPr>
        <w:tc>
          <w:tcPr>
            <w:tcW w:w="1650" w:type="pct"/>
            <w:vAlign w:val="center"/>
          </w:tcPr>
          <w:p w14:paraId="59258D49" w14:textId="77777777" w:rsidR="0086297F" w:rsidRPr="0065198B" w:rsidRDefault="0086297F" w:rsidP="002665C6">
            <w:pPr>
              <w:jc w:val="center"/>
              <w:rPr>
                <w:rFonts w:ascii="Titillium Web" w:hAnsi="Titillium Web"/>
                <w:smallCaps/>
                <w:szCs w:val="24"/>
              </w:rPr>
            </w:pPr>
            <w:r w:rsidRPr="0065198B">
              <w:rPr>
                <w:rFonts w:ascii="Titillium Web" w:hAnsi="Titillium Web"/>
                <w:smallCaps/>
                <w:szCs w:val="24"/>
              </w:rPr>
              <w:t>Anno di rinvenimento</w:t>
            </w:r>
          </w:p>
        </w:tc>
        <w:tc>
          <w:tcPr>
            <w:tcW w:w="3350" w:type="pct"/>
            <w:vAlign w:val="center"/>
          </w:tcPr>
          <w:p w14:paraId="10AA1E7C" w14:textId="59BFE2EE" w:rsidR="0086297F" w:rsidRPr="0065198B" w:rsidRDefault="0086297F" w:rsidP="002665C6">
            <w:pPr>
              <w:jc w:val="center"/>
              <w:rPr>
                <w:rFonts w:ascii="Titillium Web" w:hAnsi="Titillium Web"/>
                <w:szCs w:val="24"/>
              </w:rPr>
            </w:pPr>
            <w:r w:rsidRPr="0065198B">
              <w:rPr>
                <w:rFonts w:ascii="Titillium Web" w:hAnsi="Titillium Web"/>
                <w:szCs w:val="24"/>
              </w:rPr>
              <w:t>1924</w:t>
            </w:r>
          </w:p>
        </w:tc>
      </w:tr>
      <w:tr w:rsidR="0086297F" w:rsidRPr="0065198B" w14:paraId="3B6B9C62" w14:textId="77777777" w:rsidTr="002665C6">
        <w:trPr>
          <w:jc w:val="center"/>
        </w:trPr>
        <w:tc>
          <w:tcPr>
            <w:tcW w:w="1650" w:type="pct"/>
            <w:vAlign w:val="center"/>
          </w:tcPr>
          <w:p w14:paraId="2D01D888" w14:textId="77777777" w:rsidR="0086297F" w:rsidRPr="0065198B" w:rsidRDefault="0086297F" w:rsidP="002665C6">
            <w:pPr>
              <w:jc w:val="center"/>
              <w:rPr>
                <w:rFonts w:ascii="Titillium Web" w:hAnsi="Titillium Web"/>
                <w:smallCaps/>
                <w:szCs w:val="24"/>
              </w:rPr>
            </w:pPr>
            <w:r w:rsidRPr="0065198B">
              <w:rPr>
                <w:rFonts w:ascii="Titillium Web" w:hAnsi="Titillium Web"/>
                <w:smallCaps/>
                <w:szCs w:val="24"/>
              </w:rPr>
              <w:t>Stato di conservazione della tomba</w:t>
            </w:r>
          </w:p>
        </w:tc>
        <w:tc>
          <w:tcPr>
            <w:tcW w:w="3350" w:type="pct"/>
            <w:vAlign w:val="center"/>
          </w:tcPr>
          <w:p w14:paraId="3ADC95CD" w14:textId="31719CCD" w:rsidR="0086297F" w:rsidRPr="0065198B" w:rsidRDefault="0086297F" w:rsidP="002665C6">
            <w:pPr>
              <w:jc w:val="center"/>
              <w:rPr>
                <w:rFonts w:ascii="Titillium Web" w:hAnsi="Titillium Web"/>
                <w:szCs w:val="24"/>
              </w:rPr>
            </w:pPr>
            <w:r w:rsidRPr="0065198B">
              <w:rPr>
                <w:rFonts w:ascii="Titillium Web" w:hAnsi="Titillium Web"/>
                <w:szCs w:val="24"/>
              </w:rPr>
              <w:t>Intatta</w:t>
            </w:r>
          </w:p>
        </w:tc>
      </w:tr>
      <w:tr w:rsidR="0086297F" w:rsidRPr="0065198B" w14:paraId="3D165E1E" w14:textId="77777777" w:rsidTr="002665C6">
        <w:trPr>
          <w:jc w:val="center"/>
        </w:trPr>
        <w:tc>
          <w:tcPr>
            <w:tcW w:w="1650" w:type="pct"/>
            <w:vAlign w:val="center"/>
          </w:tcPr>
          <w:p w14:paraId="2A5B3D4F" w14:textId="77777777" w:rsidR="0086297F" w:rsidRPr="0065198B" w:rsidRDefault="0086297F" w:rsidP="002665C6">
            <w:pPr>
              <w:jc w:val="center"/>
              <w:rPr>
                <w:rFonts w:ascii="Titillium Web" w:hAnsi="Titillium Web"/>
                <w:smallCaps/>
                <w:szCs w:val="24"/>
              </w:rPr>
            </w:pPr>
            <w:r w:rsidRPr="0065198B">
              <w:rPr>
                <w:rFonts w:ascii="Titillium Web" w:hAnsi="Titillium Web"/>
                <w:smallCaps/>
                <w:szCs w:val="24"/>
              </w:rPr>
              <w:t>Rito di seppellimento</w:t>
            </w:r>
          </w:p>
        </w:tc>
        <w:tc>
          <w:tcPr>
            <w:tcW w:w="3350" w:type="pct"/>
            <w:vAlign w:val="center"/>
          </w:tcPr>
          <w:p w14:paraId="094BD426" w14:textId="6E99443A" w:rsidR="0086297F" w:rsidRPr="0065198B" w:rsidRDefault="0086297F" w:rsidP="002665C6">
            <w:pPr>
              <w:jc w:val="center"/>
              <w:rPr>
                <w:rFonts w:ascii="Titillium Web" w:hAnsi="Titillium Web"/>
                <w:szCs w:val="24"/>
              </w:rPr>
            </w:pPr>
            <w:r w:rsidRPr="0065198B">
              <w:rPr>
                <w:rFonts w:ascii="Titillium Web" w:hAnsi="Titillium Web"/>
                <w:szCs w:val="24"/>
              </w:rPr>
              <w:t>Inumazione</w:t>
            </w:r>
          </w:p>
        </w:tc>
      </w:tr>
      <w:tr w:rsidR="0086297F" w:rsidRPr="0065198B" w14:paraId="44CADBCB" w14:textId="77777777" w:rsidTr="002665C6">
        <w:trPr>
          <w:jc w:val="center"/>
        </w:trPr>
        <w:tc>
          <w:tcPr>
            <w:tcW w:w="1650" w:type="pct"/>
            <w:vAlign w:val="center"/>
          </w:tcPr>
          <w:p w14:paraId="1E25741A" w14:textId="77777777" w:rsidR="0086297F" w:rsidRPr="0065198B" w:rsidRDefault="0086297F" w:rsidP="002665C6">
            <w:pPr>
              <w:jc w:val="center"/>
              <w:rPr>
                <w:rFonts w:ascii="Titillium Web" w:hAnsi="Titillium Web"/>
                <w:smallCaps/>
                <w:szCs w:val="24"/>
              </w:rPr>
            </w:pPr>
            <w:r w:rsidRPr="0065198B">
              <w:rPr>
                <w:rFonts w:ascii="Titillium Web" w:hAnsi="Titillium Web"/>
                <w:smallCaps/>
                <w:szCs w:val="24"/>
              </w:rPr>
              <w:t>Struttura tomba</w:t>
            </w:r>
          </w:p>
        </w:tc>
        <w:tc>
          <w:tcPr>
            <w:tcW w:w="3350" w:type="pct"/>
            <w:vAlign w:val="center"/>
          </w:tcPr>
          <w:p w14:paraId="1DE3BCB3" w14:textId="08DB6A85" w:rsidR="0086297F" w:rsidRPr="0065198B" w:rsidRDefault="0086297F" w:rsidP="002665C6">
            <w:pPr>
              <w:jc w:val="center"/>
              <w:rPr>
                <w:rFonts w:ascii="Titillium Web" w:hAnsi="Titillium Web"/>
                <w:szCs w:val="24"/>
              </w:rPr>
            </w:pPr>
            <w:r w:rsidRPr="0065198B">
              <w:rPr>
                <w:rFonts w:ascii="Titillium Web" w:hAnsi="Titillium Web"/>
                <w:szCs w:val="24"/>
              </w:rPr>
              <w:t>fossa semplice, forma non registrata</w:t>
            </w:r>
          </w:p>
        </w:tc>
      </w:tr>
      <w:tr w:rsidR="0086297F" w:rsidRPr="0065198B" w14:paraId="47E1F943" w14:textId="77777777" w:rsidTr="002665C6">
        <w:trPr>
          <w:jc w:val="center"/>
        </w:trPr>
        <w:tc>
          <w:tcPr>
            <w:tcW w:w="1650" w:type="pct"/>
            <w:vAlign w:val="center"/>
          </w:tcPr>
          <w:p w14:paraId="355EE080" w14:textId="77777777" w:rsidR="0086297F" w:rsidRPr="0065198B" w:rsidRDefault="0086297F" w:rsidP="002665C6">
            <w:pPr>
              <w:jc w:val="center"/>
              <w:rPr>
                <w:rFonts w:ascii="Titillium Web" w:hAnsi="Titillium Web"/>
                <w:smallCaps/>
                <w:szCs w:val="24"/>
              </w:rPr>
            </w:pPr>
            <w:r w:rsidRPr="0065198B">
              <w:rPr>
                <w:rFonts w:ascii="Titillium Web" w:hAnsi="Titillium Web"/>
                <w:smallCaps/>
                <w:szCs w:val="24"/>
              </w:rPr>
              <w:t xml:space="preserve">Profondità dal piano di campagna </w:t>
            </w:r>
          </w:p>
        </w:tc>
        <w:tc>
          <w:tcPr>
            <w:tcW w:w="3350" w:type="pct"/>
            <w:vAlign w:val="center"/>
          </w:tcPr>
          <w:p w14:paraId="13D75B9B" w14:textId="6492371F" w:rsidR="0086297F" w:rsidRPr="0065198B" w:rsidRDefault="0086297F" w:rsidP="002665C6">
            <w:pPr>
              <w:jc w:val="center"/>
              <w:rPr>
                <w:rFonts w:ascii="Titillium Web" w:hAnsi="Titillium Web"/>
                <w:szCs w:val="24"/>
              </w:rPr>
            </w:pPr>
            <w:r w:rsidRPr="0065198B">
              <w:rPr>
                <w:rFonts w:ascii="Titillium Web" w:hAnsi="Titillium Web"/>
                <w:szCs w:val="24"/>
              </w:rPr>
              <w:t>1,1 m</w:t>
            </w:r>
          </w:p>
        </w:tc>
      </w:tr>
      <w:tr w:rsidR="0086297F" w:rsidRPr="0065198B" w14:paraId="75BC79FE" w14:textId="77777777" w:rsidTr="002665C6">
        <w:trPr>
          <w:jc w:val="center"/>
        </w:trPr>
        <w:tc>
          <w:tcPr>
            <w:tcW w:w="1650" w:type="pct"/>
            <w:vAlign w:val="center"/>
          </w:tcPr>
          <w:p w14:paraId="432462C5" w14:textId="77777777" w:rsidR="0086297F" w:rsidRPr="0065198B" w:rsidRDefault="0086297F" w:rsidP="002665C6">
            <w:pPr>
              <w:jc w:val="center"/>
              <w:rPr>
                <w:rFonts w:ascii="Titillium Web" w:hAnsi="Titillium Web"/>
                <w:smallCaps/>
                <w:szCs w:val="24"/>
              </w:rPr>
            </w:pPr>
            <w:r w:rsidRPr="0065198B">
              <w:rPr>
                <w:rFonts w:ascii="Titillium Web" w:hAnsi="Titillium Web"/>
                <w:smallCaps/>
                <w:szCs w:val="24"/>
              </w:rPr>
              <w:t>Dimensioni della sepoltura</w:t>
            </w:r>
          </w:p>
        </w:tc>
        <w:tc>
          <w:tcPr>
            <w:tcW w:w="3350" w:type="pct"/>
            <w:vAlign w:val="center"/>
          </w:tcPr>
          <w:p w14:paraId="65EDFAD4" w14:textId="5859930D" w:rsidR="0086297F" w:rsidRPr="0065198B" w:rsidRDefault="0086297F" w:rsidP="002665C6">
            <w:pPr>
              <w:jc w:val="center"/>
              <w:rPr>
                <w:rFonts w:ascii="Titillium Web" w:hAnsi="Titillium Web"/>
                <w:szCs w:val="24"/>
              </w:rPr>
            </w:pPr>
            <w:r w:rsidRPr="0065198B">
              <w:rPr>
                <w:rFonts w:ascii="Titillium Web" w:hAnsi="Titillium Web"/>
                <w:szCs w:val="24"/>
              </w:rPr>
              <w:t>Dimensioni non registrate</w:t>
            </w:r>
          </w:p>
        </w:tc>
      </w:tr>
      <w:tr w:rsidR="0086297F" w:rsidRPr="0065198B" w14:paraId="35E5C09E" w14:textId="77777777" w:rsidTr="002665C6">
        <w:trPr>
          <w:jc w:val="center"/>
        </w:trPr>
        <w:tc>
          <w:tcPr>
            <w:tcW w:w="1650" w:type="pct"/>
            <w:vAlign w:val="center"/>
          </w:tcPr>
          <w:p w14:paraId="5AA10374" w14:textId="77777777" w:rsidR="0086297F" w:rsidRPr="0065198B" w:rsidRDefault="0086297F" w:rsidP="002665C6">
            <w:pPr>
              <w:jc w:val="center"/>
              <w:rPr>
                <w:rFonts w:ascii="Titillium Web" w:hAnsi="Titillium Web"/>
                <w:smallCaps/>
                <w:szCs w:val="24"/>
              </w:rPr>
            </w:pPr>
            <w:r w:rsidRPr="0065198B">
              <w:rPr>
                <w:rFonts w:ascii="Titillium Web" w:hAnsi="Titillium Web"/>
                <w:smallCaps/>
                <w:szCs w:val="24"/>
              </w:rPr>
              <w:t>Orientamento dello scheletro</w:t>
            </w:r>
          </w:p>
        </w:tc>
        <w:tc>
          <w:tcPr>
            <w:tcW w:w="3350" w:type="pct"/>
            <w:vAlign w:val="center"/>
          </w:tcPr>
          <w:p w14:paraId="6E0E4E7B" w14:textId="7F6B3E0C" w:rsidR="0086297F" w:rsidRPr="0065198B" w:rsidRDefault="0086297F" w:rsidP="002665C6">
            <w:pPr>
              <w:jc w:val="center"/>
              <w:rPr>
                <w:rFonts w:ascii="Titillium Web" w:hAnsi="Titillium Web"/>
                <w:szCs w:val="24"/>
              </w:rPr>
            </w:pPr>
            <w:r w:rsidRPr="0065198B">
              <w:rPr>
                <w:rFonts w:ascii="Titillium Web" w:hAnsi="Titillium Web"/>
                <w:szCs w:val="24"/>
              </w:rPr>
              <w:t>NW-SE</w:t>
            </w:r>
          </w:p>
        </w:tc>
      </w:tr>
      <w:tr w:rsidR="0086297F" w:rsidRPr="0065198B" w14:paraId="71236441" w14:textId="77777777" w:rsidTr="002665C6">
        <w:trPr>
          <w:jc w:val="center"/>
        </w:trPr>
        <w:tc>
          <w:tcPr>
            <w:tcW w:w="1650" w:type="pct"/>
            <w:vAlign w:val="center"/>
          </w:tcPr>
          <w:p w14:paraId="4A1B31A8" w14:textId="77777777" w:rsidR="0086297F" w:rsidRPr="0065198B" w:rsidRDefault="0086297F" w:rsidP="002665C6">
            <w:pPr>
              <w:jc w:val="center"/>
              <w:rPr>
                <w:rFonts w:ascii="Titillium Web" w:hAnsi="Titillium Web"/>
                <w:smallCaps/>
                <w:szCs w:val="24"/>
              </w:rPr>
            </w:pPr>
            <w:r w:rsidRPr="0065198B">
              <w:rPr>
                <w:rFonts w:ascii="Titillium Web" w:hAnsi="Titillium Web"/>
                <w:smallCaps/>
                <w:szCs w:val="24"/>
              </w:rPr>
              <w:t>Segnacolo</w:t>
            </w:r>
          </w:p>
        </w:tc>
        <w:tc>
          <w:tcPr>
            <w:tcW w:w="3350" w:type="pct"/>
            <w:vAlign w:val="center"/>
          </w:tcPr>
          <w:p w14:paraId="104CE615" w14:textId="50385AE1" w:rsidR="0086297F" w:rsidRPr="0065198B" w:rsidRDefault="0086297F" w:rsidP="002665C6">
            <w:pPr>
              <w:jc w:val="center"/>
              <w:rPr>
                <w:rFonts w:ascii="Titillium Web" w:hAnsi="Titillium Web"/>
                <w:szCs w:val="24"/>
              </w:rPr>
            </w:pPr>
            <w:r w:rsidRPr="0065198B">
              <w:rPr>
                <w:rFonts w:ascii="Titillium Web" w:hAnsi="Titillium Web"/>
                <w:szCs w:val="24"/>
              </w:rPr>
              <w:t>/</w:t>
            </w:r>
          </w:p>
        </w:tc>
      </w:tr>
      <w:tr w:rsidR="0086297F" w:rsidRPr="0065198B" w14:paraId="6D6CBA71" w14:textId="77777777" w:rsidTr="002665C6">
        <w:trPr>
          <w:jc w:val="center"/>
        </w:trPr>
        <w:tc>
          <w:tcPr>
            <w:tcW w:w="1650" w:type="pct"/>
            <w:vAlign w:val="center"/>
          </w:tcPr>
          <w:p w14:paraId="75CA0D64" w14:textId="77777777" w:rsidR="0086297F" w:rsidRPr="0065198B" w:rsidRDefault="0086297F" w:rsidP="002665C6">
            <w:pPr>
              <w:jc w:val="center"/>
              <w:rPr>
                <w:rFonts w:ascii="Titillium Web" w:hAnsi="Titillium Web"/>
                <w:smallCaps/>
                <w:szCs w:val="24"/>
              </w:rPr>
            </w:pPr>
            <w:r w:rsidRPr="0065198B">
              <w:rPr>
                <w:rFonts w:ascii="Titillium Web" w:hAnsi="Titillium Web"/>
                <w:smallCaps/>
                <w:szCs w:val="24"/>
              </w:rPr>
              <w:t>Giornale di scavo</w:t>
            </w:r>
          </w:p>
        </w:tc>
        <w:tc>
          <w:tcPr>
            <w:tcW w:w="3350" w:type="pct"/>
            <w:vAlign w:val="center"/>
          </w:tcPr>
          <w:p w14:paraId="7E04411A" w14:textId="77777777" w:rsidR="00E8425C" w:rsidRPr="0065198B" w:rsidRDefault="00000000">
            <w:pPr>
              <w:rPr>
                <w:rFonts w:ascii="Titillium Web" w:hAnsi="Titillium Web"/>
                <w:i/>
                <w:iCs/>
                <w:szCs w:val="24"/>
              </w:rPr>
            </w:pPr>
            <w:r w:rsidRPr="0065198B">
              <w:rPr>
                <w:rFonts w:ascii="Titillium Web" w:hAnsi="Titillium Web"/>
                <w:i/>
                <w:iCs/>
                <w:szCs w:val="24"/>
              </w:rPr>
              <w:t>Tomba 298 - a umazione -</w:t>
            </w:r>
          </w:p>
          <w:p w14:paraId="04428307" w14:textId="77777777" w:rsidR="00E8425C" w:rsidRPr="0065198B" w:rsidRDefault="00000000">
            <w:pPr>
              <w:rPr>
                <w:rFonts w:ascii="Titillium Web" w:hAnsi="Titillium Web"/>
                <w:i/>
                <w:iCs/>
                <w:szCs w:val="24"/>
              </w:rPr>
            </w:pPr>
            <w:r w:rsidRPr="0065198B">
              <w:rPr>
                <w:rFonts w:ascii="Titillium Web" w:hAnsi="Titillium Web"/>
                <w:i/>
                <w:iCs/>
                <w:szCs w:val="24"/>
              </w:rPr>
              <w:t>A m. 1 a Sud del precedente, a m. 1,10 di profondità giaceva uno scheletro orientato da NO a S.E.</w:t>
            </w:r>
          </w:p>
          <w:p w14:paraId="06A94B55" w14:textId="77777777" w:rsidR="00E8425C" w:rsidRPr="0065198B" w:rsidRDefault="00000000">
            <w:pPr>
              <w:rPr>
                <w:rFonts w:ascii="Titillium Web" w:hAnsi="Titillium Web"/>
                <w:i/>
                <w:iCs/>
                <w:szCs w:val="24"/>
              </w:rPr>
            </w:pPr>
            <w:r w:rsidRPr="0065198B">
              <w:rPr>
                <w:rFonts w:ascii="Titillium Web" w:hAnsi="Titillium Web"/>
                <w:i/>
                <w:iCs/>
                <w:szCs w:val="24"/>
              </w:rPr>
              <w:t>Presso il fianco destro aveva:</w:t>
            </w:r>
          </w:p>
          <w:p w14:paraId="27BBC0AA" w14:textId="77777777" w:rsidR="00E8425C" w:rsidRPr="0065198B" w:rsidRDefault="00000000">
            <w:pPr>
              <w:rPr>
                <w:rFonts w:ascii="Titillium Web" w:hAnsi="Titillium Web"/>
                <w:i/>
                <w:iCs/>
                <w:szCs w:val="24"/>
              </w:rPr>
            </w:pPr>
            <w:r w:rsidRPr="0065198B">
              <w:rPr>
                <w:rFonts w:ascii="Titillium Web" w:hAnsi="Titillium Web"/>
                <w:i/>
                <w:iCs/>
                <w:szCs w:val="24"/>
              </w:rPr>
              <w:t>1 skyfos a vern. n. in frammenti, di spessore sottile e di fattura fine. La vernice nera ha risparmiato il fondo dello skyfos presso il pieduccio e sul fondo rosso dell’argilla sono disegnate tante righe come raggi. Presso l’orlo, sulla vern. nera gira attorno al vaso una riga lasciata dalla impressione di pittura che in antico doveva esserci-</w:t>
            </w:r>
          </w:p>
          <w:p w14:paraId="68DB09DB" w14:textId="77777777" w:rsidR="00E8425C" w:rsidRPr="0065198B" w:rsidRDefault="00000000">
            <w:pPr>
              <w:rPr>
                <w:rFonts w:ascii="Titillium Web" w:hAnsi="Titillium Web"/>
                <w:i/>
                <w:iCs/>
                <w:szCs w:val="24"/>
              </w:rPr>
            </w:pPr>
            <w:r w:rsidRPr="0065198B">
              <w:rPr>
                <w:rFonts w:ascii="Titillium Web" w:hAnsi="Titillium Web"/>
                <w:i/>
                <w:iCs/>
                <w:szCs w:val="24"/>
              </w:rPr>
              <w:t>1 tazzina a vern. nera, di fattura fine, con due anse laterali come una kylix, e con pieduccio. E’ frammentata; - ricomponibile.</w:t>
            </w:r>
          </w:p>
          <w:p w14:paraId="3615F711" w14:textId="77777777" w:rsidR="00E8425C" w:rsidRPr="0065198B" w:rsidRDefault="00000000">
            <w:pPr>
              <w:rPr>
                <w:rFonts w:ascii="Titillium Web" w:hAnsi="Titillium Web"/>
                <w:i/>
                <w:iCs/>
                <w:szCs w:val="24"/>
              </w:rPr>
            </w:pPr>
            <w:r w:rsidRPr="0065198B">
              <w:rPr>
                <w:rFonts w:ascii="Titillium Web" w:hAnsi="Titillium Web"/>
                <w:i/>
                <w:iCs/>
                <w:szCs w:val="24"/>
              </w:rPr>
              <w:t>1 Piccola lekythos con disegni di palmette e puntini nel corpo del vaso- Ha il beccuccio e l’ansa staccati</w:t>
            </w:r>
          </w:p>
          <w:p w14:paraId="03B41F38" w14:textId="77777777" w:rsidR="00E8425C" w:rsidRPr="0065198B" w:rsidRDefault="00000000">
            <w:pPr>
              <w:rPr>
                <w:rFonts w:ascii="Titillium Web" w:hAnsi="Titillium Web"/>
                <w:i/>
                <w:iCs/>
                <w:szCs w:val="24"/>
              </w:rPr>
            </w:pPr>
            <w:r w:rsidRPr="0065198B">
              <w:rPr>
                <w:rFonts w:ascii="Titillium Web" w:hAnsi="Titillium Web"/>
                <w:i/>
                <w:iCs/>
                <w:szCs w:val="24"/>
              </w:rPr>
              <w:t>1 balsamario tipo alabastrom, in cotto, a figure nere e grafite dipinte sul fondo giallo; è in frammenti</w:t>
            </w:r>
          </w:p>
          <w:p w14:paraId="301E6B3B" w14:textId="77777777" w:rsidR="00E8425C" w:rsidRPr="0065198B" w:rsidRDefault="00000000">
            <w:pPr>
              <w:rPr>
                <w:rFonts w:ascii="Titillium Web" w:hAnsi="Titillium Web"/>
                <w:i/>
                <w:iCs/>
                <w:szCs w:val="24"/>
              </w:rPr>
            </w:pPr>
            <w:r w:rsidRPr="0065198B">
              <w:rPr>
                <w:rFonts w:ascii="Titillium Web" w:hAnsi="Titillium Web"/>
                <w:i/>
                <w:iCs/>
                <w:szCs w:val="24"/>
              </w:rPr>
              <w:t>[ndr: richiamo a forma di stella] Su di una colonnetta una sfinge? con ali, e ai lati due uomini ammantati dei quali uno con cane =</w:t>
            </w:r>
          </w:p>
          <w:p w14:paraId="1A047FA4" w14:textId="77777777" w:rsidR="00E8425C" w:rsidRPr="0065198B" w:rsidRDefault="00000000">
            <w:pPr>
              <w:rPr>
                <w:rFonts w:ascii="Titillium Web" w:hAnsi="Titillium Web"/>
                <w:i/>
                <w:iCs/>
                <w:szCs w:val="24"/>
              </w:rPr>
            </w:pPr>
            <w:r w:rsidRPr="0065198B">
              <w:rPr>
                <w:rFonts w:ascii="Titillium Web" w:hAnsi="Titillium Web"/>
                <w:i/>
                <w:iCs/>
                <w:szCs w:val="24"/>
              </w:rPr>
              <w:t>a d. della sfinge lettere?</w:t>
            </w:r>
          </w:p>
          <w:p w14:paraId="39A17BD0" w14:textId="77777777" w:rsidR="00E8425C" w:rsidRPr="0065198B" w:rsidRDefault="00000000">
            <w:pPr>
              <w:rPr>
                <w:rFonts w:ascii="Titillium Web" w:hAnsi="Titillium Web"/>
                <w:i/>
                <w:iCs/>
                <w:szCs w:val="24"/>
              </w:rPr>
            </w:pPr>
            <w:r w:rsidRPr="0065198B">
              <w:rPr>
                <w:rFonts w:ascii="Titillium Web" w:hAnsi="Titillium Web"/>
                <w:i/>
                <w:iCs/>
                <w:szCs w:val="24"/>
              </w:rPr>
              <w:t>Nella scena lo sfondo è a tinta bianca o giallognola? è già restaurato.</w:t>
            </w:r>
          </w:p>
          <w:p w14:paraId="0317AE1D" w14:textId="77777777" w:rsidR="00E8425C" w:rsidRPr="0065198B" w:rsidRDefault="00000000">
            <w:pPr>
              <w:rPr>
                <w:rFonts w:ascii="Titillium Web" w:hAnsi="Titillium Web"/>
                <w:i/>
                <w:iCs/>
                <w:szCs w:val="24"/>
              </w:rPr>
            </w:pPr>
            <w:r w:rsidRPr="0065198B">
              <w:rPr>
                <w:rFonts w:ascii="Titillium Web" w:hAnsi="Titillium Web"/>
                <w:i/>
                <w:iCs/>
                <w:szCs w:val="24"/>
              </w:rPr>
              <w:t xml:space="preserve">2 tazzine a calotta, sottili e fine con sulla calotta, dalla parte interna, cordoni concentrici che si susseguono fino al centro </w:t>
            </w:r>
            <w:r w:rsidRPr="0065198B">
              <w:rPr>
                <w:rFonts w:ascii="Titillium Web" w:hAnsi="Titillium Web"/>
                <w:i/>
                <w:iCs/>
                <w:szCs w:val="24"/>
              </w:rPr>
              <w:lastRenderedPageBreak/>
              <w:t>della tazza che non ha piede; ha il bordo dell’orlo nero e la calotta rossa</w:t>
            </w:r>
          </w:p>
          <w:p w14:paraId="3E7F2FF4" w14:textId="77777777" w:rsidR="00E8425C" w:rsidRPr="0065198B" w:rsidRDefault="00000000">
            <w:pPr>
              <w:rPr>
                <w:rFonts w:ascii="Titillium Web" w:hAnsi="Titillium Web"/>
                <w:i/>
                <w:iCs/>
                <w:szCs w:val="24"/>
              </w:rPr>
            </w:pPr>
            <w:r w:rsidRPr="0065198B">
              <w:rPr>
                <w:rFonts w:ascii="Titillium Web" w:hAnsi="Titillium Web"/>
                <w:i/>
                <w:iCs/>
                <w:szCs w:val="24"/>
              </w:rPr>
              <w:t>Sono in frammenti</w:t>
            </w:r>
          </w:p>
          <w:p w14:paraId="305F7DEF" w14:textId="77777777" w:rsidR="00E8425C" w:rsidRPr="0065198B" w:rsidRDefault="00000000">
            <w:pPr>
              <w:rPr>
                <w:rFonts w:ascii="Titillium Web" w:hAnsi="Titillium Web"/>
                <w:i/>
                <w:iCs/>
                <w:szCs w:val="24"/>
              </w:rPr>
            </w:pPr>
            <w:r w:rsidRPr="0065198B">
              <w:rPr>
                <w:rFonts w:ascii="Titillium Web" w:hAnsi="Titillium Web"/>
                <w:i/>
                <w:iCs/>
                <w:szCs w:val="24"/>
              </w:rPr>
              <w:t>1 tazzina piccola, a vern. nera, con una sola ansa orrizontale - intera</w:t>
            </w:r>
          </w:p>
          <w:p w14:paraId="5A6EFF95" w14:textId="77777777" w:rsidR="00E8425C" w:rsidRPr="0065198B" w:rsidRDefault="00000000">
            <w:pPr>
              <w:rPr>
                <w:rFonts w:ascii="Titillium Web" w:hAnsi="Titillium Web"/>
                <w:i/>
                <w:iCs/>
                <w:szCs w:val="24"/>
              </w:rPr>
            </w:pPr>
            <w:r w:rsidRPr="0065198B">
              <w:rPr>
                <w:rFonts w:ascii="Titillium Web" w:hAnsi="Titillium Web"/>
                <w:i/>
                <w:iCs/>
                <w:szCs w:val="24"/>
              </w:rPr>
              <w:t>2 ciotole di argilla gialla chiaro, grezze (una spezzata)</w:t>
            </w:r>
          </w:p>
          <w:p w14:paraId="6F4FD516" w14:textId="77777777" w:rsidR="00E8425C" w:rsidRPr="0065198B" w:rsidRDefault="00000000">
            <w:pPr>
              <w:rPr>
                <w:rFonts w:ascii="Titillium Web" w:hAnsi="Titillium Web"/>
                <w:i/>
                <w:iCs/>
                <w:szCs w:val="24"/>
              </w:rPr>
            </w:pPr>
            <w:r w:rsidRPr="0065198B">
              <w:rPr>
                <w:rFonts w:ascii="Titillium Web" w:hAnsi="Titillium Web"/>
                <w:i/>
                <w:iCs/>
                <w:szCs w:val="24"/>
              </w:rPr>
              <w:t>1 altra idem più piccola intera.</w:t>
            </w:r>
          </w:p>
          <w:p w14:paraId="64AEA4A7" w14:textId="77777777" w:rsidR="00E8425C" w:rsidRPr="0065198B" w:rsidRDefault="00000000">
            <w:pPr>
              <w:rPr>
                <w:rFonts w:ascii="Titillium Web" w:hAnsi="Titillium Web"/>
                <w:i/>
                <w:iCs/>
                <w:szCs w:val="24"/>
              </w:rPr>
            </w:pPr>
            <w:r w:rsidRPr="0065198B">
              <w:rPr>
                <w:rFonts w:ascii="Titillium Web" w:hAnsi="Titillium Web"/>
                <w:i/>
                <w:iCs/>
                <w:szCs w:val="24"/>
              </w:rPr>
              <w:t>4 piattelli di argilla gialla comune, grezzi (uno è in frammenti)</w:t>
            </w:r>
          </w:p>
          <w:p w14:paraId="1AEF77A8" w14:textId="77777777" w:rsidR="00E8425C" w:rsidRPr="0065198B" w:rsidRDefault="00000000">
            <w:pPr>
              <w:rPr>
                <w:rFonts w:ascii="Titillium Web" w:hAnsi="Titillium Web"/>
                <w:i/>
                <w:iCs/>
                <w:szCs w:val="24"/>
              </w:rPr>
            </w:pPr>
            <w:r w:rsidRPr="0065198B">
              <w:rPr>
                <w:rFonts w:ascii="Titillium Web" w:hAnsi="Titillium Web"/>
                <w:i/>
                <w:iCs/>
                <w:szCs w:val="24"/>
              </w:rPr>
              <w:t>2 piccoli fram.ti di fibula?</w:t>
            </w:r>
          </w:p>
        </w:tc>
      </w:tr>
      <w:tr w:rsidR="0086297F" w:rsidRPr="0065198B" w14:paraId="1429C2F3" w14:textId="77777777" w:rsidTr="002665C6">
        <w:trPr>
          <w:jc w:val="center"/>
        </w:trPr>
        <w:tc>
          <w:tcPr>
            <w:tcW w:w="1650" w:type="pct"/>
            <w:vAlign w:val="center"/>
          </w:tcPr>
          <w:p w14:paraId="7F398080" w14:textId="77777777" w:rsidR="0086297F" w:rsidRPr="0065198B" w:rsidRDefault="0086297F" w:rsidP="002665C6">
            <w:pPr>
              <w:jc w:val="center"/>
              <w:rPr>
                <w:rFonts w:ascii="Titillium Web" w:hAnsi="Titillium Web"/>
                <w:smallCaps/>
                <w:szCs w:val="24"/>
              </w:rPr>
            </w:pPr>
            <w:r w:rsidRPr="0065198B">
              <w:rPr>
                <w:rFonts w:ascii="Titillium Web" w:hAnsi="Titillium Web"/>
                <w:smallCaps/>
                <w:szCs w:val="24"/>
              </w:rPr>
              <w:lastRenderedPageBreak/>
              <w:t>Posizione del corredo</w:t>
            </w:r>
          </w:p>
        </w:tc>
        <w:tc>
          <w:tcPr>
            <w:tcW w:w="3350" w:type="pct"/>
            <w:vAlign w:val="center"/>
          </w:tcPr>
          <w:p w14:paraId="5C03ADA7" w14:textId="7BF3AD8D" w:rsidR="0086297F" w:rsidRPr="0065198B" w:rsidRDefault="0086297F" w:rsidP="002665C6">
            <w:pPr>
              <w:jc w:val="center"/>
              <w:rPr>
                <w:rFonts w:ascii="Titillium Web" w:hAnsi="Titillium Web"/>
                <w:szCs w:val="24"/>
              </w:rPr>
            </w:pPr>
            <w:r w:rsidRPr="0065198B">
              <w:rPr>
                <w:rFonts w:ascii="Titillium Web" w:hAnsi="Titillium Web"/>
                <w:szCs w:val="24"/>
              </w:rPr>
              <w:t>Fianco destro</w:t>
            </w:r>
          </w:p>
        </w:tc>
      </w:tr>
      <w:tr w:rsidR="0086297F" w:rsidRPr="0065198B" w14:paraId="71A0E4AF" w14:textId="77777777" w:rsidTr="002665C6">
        <w:trPr>
          <w:jc w:val="center"/>
        </w:trPr>
        <w:tc>
          <w:tcPr>
            <w:tcW w:w="1650" w:type="pct"/>
            <w:vAlign w:val="center"/>
          </w:tcPr>
          <w:p w14:paraId="2128B19B" w14:textId="77777777" w:rsidR="0086297F" w:rsidRPr="0065198B" w:rsidRDefault="0086297F" w:rsidP="002665C6">
            <w:pPr>
              <w:jc w:val="center"/>
              <w:rPr>
                <w:rFonts w:ascii="Titillium Web" w:hAnsi="Titillium Web"/>
                <w:smallCaps/>
                <w:szCs w:val="24"/>
              </w:rPr>
            </w:pPr>
            <w:r w:rsidRPr="0065198B">
              <w:rPr>
                <w:rFonts w:ascii="Titillium Web" w:hAnsi="Titillium Web"/>
                <w:smallCaps/>
                <w:szCs w:val="24"/>
              </w:rPr>
              <w:t>Genere (legato all’analisi del corredo)</w:t>
            </w:r>
          </w:p>
        </w:tc>
        <w:tc>
          <w:tcPr>
            <w:tcW w:w="3350" w:type="pct"/>
            <w:vAlign w:val="center"/>
          </w:tcPr>
          <w:p w14:paraId="31324C2B" w14:textId="4E55E405" w:rsidR="0086297F" w:rsidRPr="0065198B" w:rsidRDefault="0086297F" w:rsidP="002665C6">
            <w:pPr>
              <w:jc w:val="center"/>
              <w:rPr>
                <w:rFonts w:ascii="Titillium Web" w:hAnsi="Titillium Web"/>
                <w:szCs w:val="24"/>
              </w:rPr>
            </w:pPr>
            <w:r w:rsidRPr="0065198B">
              <w:rPr>
                <w:rFonts w:ascii="Titillium Web" w:hAnsi="Titillium Web"/>
                <w:szCs w:val="24"/>
              </w:rPr>
              <w:t>Non determinabile</w:t>
            </w:r>
          </w:p>
        </w:tc>
      </w:tr>
      <w:tr w:rsidR="0086297F" w:rsidRPr="0065198B" w14:paraId="17633947" w14:textId="77777777" w:rsidTr="002665C6">
        <w:trPr>
          <w:jc w:val="center"/>
        </w:trPr>
        <w:tc>
          <w:tcPr>
            <w:tcW w:w="1650" w:type="pct"/>
            <w:vAlign w:val="center"/>
          </w:tcPr>
          <w:p w14:paraId="44721053" w14:textId="77777777" w:rsidR="0086297F" w:rsidRPr="0065198B" w:rsidRDefault="0086297F" w:rsidP="002665C6">
            <w:pPr>
              <w:jc w:val="center"/>
              <w:rPr>
                <w:rFonts w:ascii="Titillium Web" w:hAnsi="Titillium Web"/>
                <w:smallCaps/>
                <w:szCs w:val="24"/>
              </w:rPr>
            </w:pPr>
            <w:r w:rsidRPr="0065198B">
              <w:rPr>
                <w:rFonts w:ascii="Titillium Web" w:hAnsi="Titillium Web"/>
                <w:smallCaps/>
                <w:szCs w:val="24"/>
              </w:rPr>
              <w:t>Sesso (legato alle analisi antropologiche)</w:t>
            </w:r>
          </w:p>
        </w:tc>
        <w:tc>
          <w:tcPr>
            <w:tcW w:w="3350" w:type="pct"/>
            <w:vAlign w:val="center"/>
          </w:tcPr>
          <w:p w14:paraId="66E918A4" w14:textId="50197FF0" w:rsidR="0086297F" w:rsidRPr="0065198B" w:rsidRDefault="0086297F" w:rsidP="002665C6">
            <w:pPr>
              <w:jc w:val="center"/>
              <w:rPr>
                <w:rFonts w:ascii="Titillium Web" w:hAnsi="Titillium Web"/>
                <w:szCs w:val="24"/>
              </w:rPr>
            </w:pPr>
            <w:r w:rsidRPr="0065198B">
              <w:rPr>
                <w:rFonts w:ascii="Titillium Web" w:hAnsi="Titillium Web"/>
                <w:szCs w:val="24"/>
              </w:rPr>
              <w:t>Non determinabile</w:t>
            </w:r>
          </w:p>
        </w:tc>
      </w:tr>
      <w:tr w:rsidR="0086297F" w:rsidRPr="0065198B" w14:paraId="0588946D" w14:textId="77777777" w:rsidTr="002665C6">
        <w:trPr>
          <w:jc w:val="center"/>
        </w:trPr>
        <w:tc>
          <w:tcPr>
            <w:tcW w:w="1650" w:type="pct"/>
            <w:vAlign w:val="center"/>
          </w:tcPr>
          <w:p w14:paraId="54990945" w14:textId="77777777" w:rsidR="0086297F" w:rsidRPr="0065198B" w:rsidRDefault="0086297F" w:rsidP="002665C6">
            <w:pPr>
              <w:jc w:val="center"/>
              <w:rPr>
                <w:rFonts w:ascii="Titillium Web" w:hAnsi="Titillium Web"/>
                <w:smallCaps/>
                <w:szCs w:val="24"/>
              </w:rPr>
            </w:pPr>
            <w:r w:rsidRPr="0065198B">
              <w:rPr>
                <w:rFonts w:ascii="Titillium Web" w:hAnsi="Titillium Web"/>
                <w:smallCaps/>
                <w:szCs w:val="24"/>
              </w:rPr>
              <w:t>Classi di età</w:t>
            </w:r>
          </w:p>
        </w:tc>
        <w:tc>
          <w:tcPr>
            <w:tcW w:w="3350" w:type="pct"/>
            <w:vAlign w:val="center"/>
          </w:tcPr>
          <w:p w14:paraId="0E0589EA" w14:textId="7D4DF825" w:rsidR="0086297F" w:rsidRPr="0065198B" w:rsidRDefault="0086297F" w:rsidP="002665C6">
            <w:pPr>
              <w:jc w:val="center"/>
              <w:rPr>
                <w:rFonts w:ascii="Titillium Web" w:hAnsi="Titillium Web"/>
                <w:szCs w:val="24"/>
              </w:rPr>
            </w:pPr>
            <w:r w:rsidRPr="0065198B">
              <w:rPr>
                <w:rFonts w:ascii="Titillium Web" w:hAnsi="Titillium Web"/>
                <w:szCs w:val="24"/>
              </w:rPr>
              <w:t>Subadulto</w:t>
            </w:r>
          </w:p>
        </w:tc>
      </w:tr>
      <w:tr w:rsidR="0086297F" w:rsidRPr="0065198B" w14:paraId="1FFA88A1" w14:textId="77777777" w:rsidTr="002665C6">
        <w:trPr>
          <w:jc w:val="center"/>
        </w:trPr>
        <w:tc>
          <w:tcPr>
            <w:tcW w:w="1650" w:type="pct"/>
            <w:vAlign w:val="center"/>
          </w:tcPr>
          <w:p w14:paraId="63B2D8D6" w14:textId="77777777" w:rsidR="0086297F" w:rsidRPr="0065198B" w:rsidRDefault="0086297F" w:rsidP="002665C6">
            <w:pPr>
              <w:jc w:val="center"/>
              <w:rPr>
                <w:rFonts w:ascii="Titillium Web" w:hAnsi="Titillium Web"/>
                <w:smallCaps/>
                <w:szCs w:val="24"/>
              </w:rPr>
            </w:pPr>
            <w:r w:rsidRPr="0065198B">
              <w:rPr>
                <w:rFonts w:ascii="Titillium Web" w:hAnsi="Titillium Web"/>
                <w:smallCaps/>
                <w:szCs w:val="24"/>
              </w:rPr>
              <w:t>Bibliografia essenziale</w:t>
            </w:r>
          </w:p>
        </w:tc>
        <w:tc>
          <w:tcPr>
            <w:tcW w:w="3350" w:type="pct"/>
            <w:vAlign w:val="center"/>
          </w:tcPr>
          <w:p w14:paraId="6FCE2B77" w14:textId="77777777" w:rsidR="00E8425C" w:rsidRPr="0065198B" w:rsidRDefault="00000000" w:rsidP="0065198B">
            <w:pPr>
              <w:jc w:val="center"/>
              <w:rPr>
                <w:rFonts w:ascii="Titillium Web" w:hAnsi="Titillium Web"/>
                <w:szCs w:val="24"/>
              </w:rPr>
            </w:pPr>
            <w:r w:rsidRPr="0065198B">
              <w:rPr>
                <w:rFonts w:ascii="Titillium Web" w:eastAsia="Titillium" w:hAnsi="Titillium Web" w:cs="Titillium"/>
                <w:smallCaps/>
                <w:szCs w:val="24"/>
              </w:rPr>
              <w:t>Gaucci</w:t>
            </w:r>
            <w:r w:rsidRPr="0065198B">
              <w:rPr>
                <w:rFonts w:ascii="Titillium Web" w:eastAsia="Titillium" w:hAnsi="Titillium Web" w:cs="Titillium"/>
                <w:szCs w:val="24"/>
              </w:rPr>
              <w:t xml:space="preserve"> 2014; </w:t>
            </w:r>
            <w:r w:rsidRPr="0065198B">
              <w:rPr>
                <w:rFonts w:ascii="Titillium Web" w:eastAsia="Titillium" w:hAnsi="Titillium Web" w:cs="Titillium"/>
                <w:smallCaps/>
                <w:szCs w:val="24"/>
              </w:rPr>
              <w:t>Serra</w:t>
            </w:r>
            <w:r w:rsidRPr="0065198B">
              <w:rPr>
                <w:rFonts w:ascii="Titillium Web" w:eastAsia="Titillium" w:hAnsi="Titillium Web" w:cs="Titillium"/>
                <w:szCs w:val="24"/>
              </w:rPr>
              <w:t xml:space="preserve"> in </w:t>
            </w:r>
            <w:r w:rsidRPr="0065198B">
              <w:rPr>
                <w:rFonts w:ascii="Titillium Web" w:eastAsia="Titillium" w:hAnsi="Titillium Web" w:cs="Titillium"/>
                <w:i/>
                <w:iCs/>
                <w:szCs w:val="24"/>
              </w:rPr>
              <w:t>Spina</w:t>
            </w:r>
            <w:r w:rsidRPr="0065198B">
              <w:rPr>
                <w:rFonts w:ascii="Titillium Web" w:eastAsia="Titillium" w:hAnsi="Titillium Web" w:cs="Titillium"/>
                <w:szCs w:val="24"/>
              </w:rPr>
              <w:t xml:space="preserve"> 2023, p. 89; </w:t>
            </w:r>
            <w:r w:rsidRPr="0065198B">
              <w:rPr>
                <w:rFonts w:ascii="Titillium Web" w:eastAsia="Titillium" w:hAnsi="Titillium Web" w:cs="Titillium"/>
                <w:smallCaps/>
                <w:szCs w:val="24"/>
              </w:rPr>
              <w:t>Serra</w:t>
            </w:r>
            <w:r w:rsidRPr="0065198B">
              <w:rPr>
                <w:rFonts w:ascii="Titillium Web" w:eastAsia="Titillium" w:hAnsi="Titillium Web" w:cs="Titillium"/>
                <w:szCs w:val="24"/>
              </w:rPr>
              <w:t xml:space="preserve"> 2025, p. 235</w:t>
            </w:r>
          </w:p>
        </w:tc>
      </w:tr>
    </w:tbl>
    <w:p w14:paraId="13D523A5" w14:textId="77777777" w:rsidR="00472AF4" w:rsidRPr="00042C80" w:rsidRDefault="00472AF4" w:rsidP="0086297F">
      <w:pPr>
        <w:rPr>
          <w:rFonts w:ascii="Titillium Web" w:hAnsi="Titillium Web"/>
        </w:rPr>
      </w:pPr>
    </w:p>
    <w:sectPr w:rsidR="00472AF4" w:rsidRPr="00042C80" w:rsidSect="005B5AFF">
      <w:pgSz w:w="11906" w:h="16838"/>
      <w:pgMar w:top="1418" w:right="1418"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tillium Web">
    <w:panose1 w:val="00000500000000000000"/>
    <w:charset w:val="00"/>
    <w:family w:val="auto"/>
    <w:pitch w:val="variable"/>
    <w:sig w:usb0="00000007" w:usb1="00000001" w:usb2="00000000" w:usb3="00000000" w:csb0="00000093" w:csb1="00000000"/>
  </w:font>
  <w:font w:name="Titillium">
    <w:altName w:val="Cambria"/>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283"/>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1AF8"/>
    <w:rsid w:val="00042C80"/>
    <w:rsid w:val="000D72F4"/>
    <w:rsid w:val="001C17CC"/>
    <w:rsid w:val="002977D7"/>
    <w:rsid w:val="00472AF4"/>
    <w:rsid w:val="00551AF8"/>
    <w:rsid w:val="005B49E3"/>
    <w:rsid w:val="005B5AFF"/>
    <w:rsid w:val="006162A4"/>
    <w:rsid w:val="006346F7"/>
    <w:rsid w:val="0065198B"/>
    <w:rsid w:val="006D6EFB"/>
    <w:rsid w:val="007145BC"/>
    <w:rsid w:val="0086297F"/>
    <w:rsid w:val="009E4922"/>
    <w:rsid w:val="00AB321D"/>
    <w:rsid w:val="00B165C4"/>
    <w:rsid w:val="00C21EE0"/>
    <w:rsid w:val="00D900AB"/>
    <w:rsid w:val="00D936E8"/>
    <w:rsid w:val="00E24633"/>
    <w:rsid w:val="00E8425C"/>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E896DF"/>
  <w15:chartTrackingRefBased/>
  <w15:docId w15:val="{EFE63D76-3A16-4E4D-89D8-9FB43B65CA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it-IT" w:eastAsia="en-US" w:bidi="ar-SA"/>
        <w14:ligatures w14:val="standardContextual"/>
      </w:rPr>
    </w:rPrDefault>
    <w:pPrDefault>
      <w:pPr>
        <w:spacing w:after="16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86297F"/>
  </w:style>
  <w:style w:type="paragraph" w:styleId="Titolo1">
    <w:name w:val="heading 1"/>
    <w:basedOn w:val="Normale"/>
    <w:next w:val="Normale"/>
    <w:link w:val="Titolo1Carattere"/>
    <w:uiPriority w:val="9"/>
    <w:qFormat/>
    <w:rsid w:val="00551A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551A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551AF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551AF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551AF8"/>
    <w:pPr>
      <w:keepNext/>
      <w:keepLines/>
      <w:spacing w:before="80" w:after="40"/>
      <w:outlineLvl w:val="4"/>
    </w:pPr>
    <w:rPr>
      <w:rFonts w:asciiTheme="minorHAnsi" w:eastAsiaTheme="majorEastAsia" w:hAnsiTheme="minorHAnsi" w:cstheme="majorBidi"/>
      <w:color w:val="0F4761" w:themeColor="accent1" w:themeShade="BF"/>
    </w:rPr>
  </w:style>
  <w:style w:type="paragraph" w:styleId="Titolo6">
    <w:name w:val="heading 6"/>
    <w:basedOn w:val="Normale"/>
    <w:next w:val="Normale"/>
    <w:link w:val="Titolo6Carattere"/>
    <w:uiPriority w:val="9"/>
    <w:semiHidden/>
    <w:unhideWhenUsed/>
    <w:qFormat/>
    <w:rsid w:val="00551AF8"/>
    <w:pPr>
      <w:keepNext/>
      <w:keepLines/>
      <w:spacing w:before="40" w:after="0"/>
      <w:outlineLvl w:val="5"/>
    </w:pPr>
    <w:rPr>
      <w:rFonts w:asciiTheme="minorHAnsi" w:eastAsiaTheme="majorEastAsia" w:hAnsiTheme="minorHAnsi" w:cstheme="majorBidi"/>
      <w:i/>
      <w:iCs/>
      <w:color w:val="595959" w:themeColor="text1" w:themeTint="A6"/>
    </w:rPr>
  </w:style>
  <w:style w:type="paragraph" w:styleId="Titolo7">
    <w:name w:val="heading 7"/>
    <w:basedOn w:val="Normale"/>
    <w:next w:val="Normale"/>
    <w:link w:val="Titolo7Carattere"/>
    <w:uiPriority w:val="9"/>
    <w:semiHidden/>
    <w:unhideWhenUsed/>
    <w:qFormat/>
    <w:rsid w:val="00551AF8"/>
    <w:pPr>
      <w:keepNext/>
      <w:keepLines/>
      <w:spacing w:before="40" w:after="0"/>
      <w:outlineLvl w:val="6"/>
    </w:pPr>
    <w:rPr>
      <w:rFonts w:asciiTheme="minorHAnsi" w:eastAsiaTheme="majorEastAsia" w:hAnsiTheme="minorHAnsi" w:cstheme="majorBidi"/>
      <w:color w:val="595959" w:themeColor="text1" w:themeTint="A6"/>
    </w:rPr>
  </w:style>
  <w:style w:type="paragraph" w:styleId="Titolo8">
    <w:name w:val="heading 8"/>
    <w:basedOn w:val="Normale"/>
    <w:next w:val="Normale"/>
    <w:link w:val="Titolo8Carattere"/>
    <w:uiPriority w:val="9"/>
    <w:semiHidden/>
    <w:unhideWhenUsed/>
    <w:qFormat/>
    <w:rsid w:val="00551AF8"/>
    <w:pPr>
      <w:keepNext/>
      <w:keepLines/>
      <w:spacing w:after="0"/>
      <w:outlineLvl w:val="7"/>
    </w:pPr>
    <w:rPr>
      <w:rFonts w:asciiTheme="minorHAnsi" w:eastAsiaTheme="majorEastAsia" w:hAnsiTheme="minorHAnsi" w:cstheme="majorBidi"/>
      <w:i/>
      <w:iCs/>
      <w:color w:val="272727" w:themeColor="text1" w:themeTint="D8"/>
    </w:rPr>
  </w:style>
  <w:style w:type="paragraph" w:styleId="Titolo9">
    <w:name w:val="heading 9"/>
    <w:basedOn w:val="Normale"/>
    <w:next w:val="Normale"/>
    <w:link w:val="Titolo9Carattere"/>
    <w:uiPriority w:val="9"/>
    <w:semiHidden/>
    <w:unhideWhenUsed/>
    <w:qFormat/>
    <w:rsid w:val="00551AF8"/>
    <w:pPr>
      <w:keepNext/>
      <w:keepLines/>
      <w:spacing w:after="0"/>
      <w:outlineLvl w:val="8"/>
    </w:pPr>
    <w:rPr>
      <w:rFonts w:asciiTheme="minorHAnsi" w:eastAsiaTheme="majorEastAsia" w:hAnsiTheme="minorHAnsi"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551AF8"/>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551AF8"/>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551AF8"/>
    <w:rPr>
      <w:rFonts w:asciiTheme="minorHAnsi" w:eastAsiaTheme="majorEastAsia" w:hAnsiTheme="minorHAnsi"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551AF8"/>
    <w:rPr>
      <w:rFonts w:asciiTheme="minorHAnsi" w:eastAsiaTheme="majorEastAsia" w:hAnsiTheme="minorHAnsi" w:cstheme="majorBidi"/>
      <w:i/>
      <w:iCs/>
      <w:color w:val="0F4761" w:themeColor="accent1" w:themeShade="BF"/>
    </w:rPr>
  </w:style>
  <w:style w:type="character" w:customStyle="1" w:styleId="Titolo5Carattere">
    <w:name w:val="Titolo 5 Carattere"/>
    <w:basedOn w:val="Carpredefinitoparagrafo"/>
    <w:link w:val="Titolo5"/>
    <w:uiPriority w:val="9"/>
    <w:semiHidden/>
    <w:rsid w:val="00551AF8"/>
    <w:rPr>
      <w:rFonts w:asciiTheme="minorHAnsi" w:eastAsiaTheme="majorEastAsia" w:hAnsiTheme="minorHAnsi" w:cstheme="majorBidi"/>
      <w:color w:val="0F4761" w:themeColor="accent1" w:themeShade="BF"/>
    </w:rPr>
  </w:style>
  <w:style w:type="character" w:customStyle="1" w:styleId="Titolo6Carattere">
    <w:name w:val="Titolo 6 Carattere"/>
    <w:basedOn w:val="Carpredefinitoparagrafo"/>
    <w:link w:val="Titolo6"/>
    <w:uiPriority w:val="9"/>
    <w:semiHidden/>
    <w:rsid w:val="00551AF8"/>
    <w:rPr>
      <w:rFonts w:asciiTheme="minorHAnsi" w:eastAsiaTheme="majorEastAsia" w:hAnsiTheme="minorHAnsi" w:cstheme="majorBidi"/>
      <w:i/>
      <w:iCs/>
      <w:color w:val="595959" w:themeColor="text1" w:themeTint="A6"/>
    </w:rPr>
  </w:style>
  <w:style w:type="character" w:customStyle="1" w:styleId="Titolo7Carattere">
    <w:name w:val="Titolo 7 Carattere"/>
    <w:basedOn w:val="Carpredefinitoparagrafo"/>
    <w:link w:val="Titolo7"/>
    <w:uiPriority w:val="9"/>
    <w:semiHidden/>
    <w:rsid w:val="00551AF8"/>
    <w:rPr>
      <w:rFonts w:asciiTheme="minorHAnsi" w:eastAsiaTheme="majorEastAsia" w:hAnsiTheme="minorHAnsi" w:cstheme="majorBidi"/>
      <w:color w:val="595959" w:themeColor="text1" w:themeTint="A6"/>
    </w:rPr>
  </w:style>
  <w:style w:type="character" w:customStyle="1" w:styleId="Titolo8Carattere">
    <w:name w:val="Titolo 8 Carattere"/>
    <w:basedOn w:val="Carpredefinitoparagrafo"/>
    <w:link w:val="Titolo8"/>
    <w:uiPriority w:val="9"/>
    <w:semiHidden/>
    <w:rsid w:val="00551AF8"/>
    <w:rPr>
      <w:rFonts w:asciiTheme="minorHAnsi" w:eastAsiaTheme="majorEastAsia" w:hAnsiTheme="minorHAnsi" w:cstheme="majorBidi"/>
      <w:i/>
      <w:iCs/>
      <w:color w:val="272727" w:themeColor="text1" w:themeTint="D8"/>
    </w:rPr>
  </w:style>
  <w:style w:type="character" w:customStyle="1" w:styleId="Titolo9Carattere">
    <w:name w:val="Titolo 9 Carattere"/>
    <w:basedOn w:val="Carpredefinitoparagrafo"/>
    <w:link w:val="Titolo9"/>
    <w:uiPriority w:val="9"/>
    <w:semiHidden/>
    <w:rsid w:val="00551AF8"/>
    <w:rPr>
      <w:rFonts w:asciiTheme="minorHAnsi" w:eastAsiaTheme="majorEastAsia" w:hAnsiTheme="minorHAnsi" w:cstheme="majorBidi"/>
      <w:color w:val="272727" w:themeColor="text1" w:themeTint="D8"/>
    </w:rPr>
  </w:style>
  <w:style w:type="paragraph" w:styleId="Titolo">
    <w:name w:val="Title"/>
    <w:basedOn w:val="Normale"/>
    <w:next w:val="Normale"/>
    <w:link w:val="TitoloCarattere"/>
    <w:uiPriority w:val="10"/>
    <w:qFormat/>
    <w:rsid w:val="00551AF8"/>
    <w:pPr>
      <w:spacing w:after="80"/>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551AF8"/>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551AF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551AF8"/>
    <w:rPr>
      <w:rFonts w:asciiTheme="minorHAnsi" w:eastAsiaTheme="majorEastAsia" w:hAnsiTheme="minorHAnsi"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551AF8"/>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551AF8"/>
    <w:rPr>
      <w:i/>
      <w:iCs/>
      <w:color w:val="404040" w:themeColor="text1" w:themeTint="BF"/>
    </w:rPr>
  </w:style>
  <w:style w:type="paragraph" w:styleId="Paragrafoelenco">
    <w:name w:val="List Paragraph"/>
    <w:basedOn w:val="Normale"/>
    <w:uiPriority w:val="34"/>
    <w:qFormat/>
    <w:rsid w:val="00551AF8"/>
    <w:pPr>
      <w:ind w:left="720"/>
      <w:contextualSpacing/>
    </w:pPr>
  </w:style>
  <w:style w:type="character" w:styleId="Enfasiintensa">
    <w:name w:val="Intense Emphasis"/>
    <w:basedOn w:val="Carpredefinitoparagrafo"/>
    <w:uiPriority w:val="21"/>
    <w:qFormat/>
    <w:rsid w:val="00551AF8"/>
    <w:rPr>
      <w:i/>
      <w:iCs/>
      <w:color w:val="0F4761" w:themeColor="accent1" w:themeShade="BF"/>
    </w:rPr>
  </w:style>
  <w:style w:type="paragraph" w:styleId="Citazioneintensa">
    <w:name w:val="Intense Quote"/>
    <w:basedOn w:val="Normale"/>
    <w:next w:val="Normale"/>
    <w:link w:val="CitazioneintensaCarattere"/>
    <w:uiPriority w:val="30"/>
    <w:qFormat/>
    <w:rsid w:val="00551A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551AF8"/>
    <w:rPr>
      <w:i/>
      <w:iCs/>
      <w:color w:val="0F4761" w:themeColor="accent1" w:themeShade="BF"/>
    </w:rPr>
  </w:style>
  <w:style w:type="character" w:styleId="Riferimentointenso">
    <w:name w:val="Intense Reference"/>
    <w:basedOn w:val="Carpredefinitoparagrafo"/>
    <w:uiPriority w:val="32"/>
    <w:qFormat/>
    <w:rsid w:val="00551AF8"/>
    <w:rPr>
      <w:b/>
      <w:bCs/>
      <w:smallCaps/>
      <w:color w:val="0F4761" w:themeColor="accent1" w:themeShade="BF"/>
      <w:spacing w:val="5"/>
    </w:rPr>
  </w:style>
  <w:style w:type="table" w:styleId="Grigliatabella">
    <w:name w:val="Table Grid"/>
    <w:basedOn w:val="Tabellanormale"/>
    <w:uiPriority w:val="39"/>
    <w:rsid w:val="0086297F"/>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323</Words>
  <Characters>1846</Characters>
  <Application>Microsoft Office Word</Application>
  <DocSecurity>0</DocSecurity>
  <Lines>15</Lines>
  <Paragraphs>4</Paragraphs>
  <ScaleCrop>false</ScaleCrop>
  <Company/>
  <LinksUpToDate>false</LinksUpToDate>
  <CharactersWithSpaces>2165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martina castoldi</dc:creator>
  <cp:keywords/>
  <dc:description/>
  <cp:lastModifiedBy>martina castoldi</cp:lastModifiedBy>
  <cp:revision>7</cp:revision>
  <dcterms:created xsi:type="dcterms:W3CDTF">2026-04-30T12:42:00Z</dcterms:created>
  <dcterms:modified xsi:type="dcterms:W3CDTF">2026-05-15T19:51:00Z</dcterms:modified>
</cp:coreProperties>
</file>