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C7EB1" w14:paraId="7E897B51" w14:textId="77777777" w:rsidTr="732835C3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CC7EB1" w14:paraId="4120B077" w14:textId="77777777" w:rsidTr="732835C3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0641B269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CC7EB1" w14:paraId="7A448E9D" w14:textId="77777777" w:rsidTr="732835C3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55B192B2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CC7EB1" w14:paraId="31276AA4" w14:textId="77777777" w:rsidTr="732835C3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29257B92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Fossa, di forma non registrata</w:t>
            </w:r>
          </w:p>
        </w:tc>
      </w:tr>
      <w:tr w:rsidR="001B5504" w:rsidRPr="00CC7EB1" w14:paraId="07337DA2" w14:textId="77777777" w:rsidTr="732835C3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33406AC9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CC7EB1" w14:paraId="16F9D287" w14:textId="77777777" w:rsidTr="732835C3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77860CFE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C7EB1" w14:paraId="3DCDE8C5" w14:textId="77777777" w:rsidTr="732835C3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0653EBAD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E-W</w:t>
            </w:r>
          </w:p>
        </w:tc>
      </w:tr>
      <w:tr w:rsidR="001B5504" w:rsidRPr="00CC7EB1" w14:paraId="5978151F" w14:textId="77777777" w:rsidTr="732835C3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C84F3EF" w:rsidR="001B5504" w:rsidRPr="00CC7EB1" w:rsidRDefault="00840AA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C7EB1" w14:paraId="28E05F99" w14:textId="77777777" w:rsidTr="732835C3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C7EB1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1E55CCC3" w:rsidR="001B5504" w:rsidRPr="00CC7EB1" w:rsidRDefault="6B2BC71D" w:rsidP="732835C3">
            <w:pPr>
              <w:jc w:val="left"/>
              <w:rPr>
                <w:rFonts w:ascii="Titillium Web" w:hAnsi="Titillium Web"/>
                <w:i/>
                <w:iCs/>
              </w:rPr>
            </w:pPr>
            <w:r w:rsidRPr="732835C3">
              <w:rPr>
                <w:rFonts w:ascii="Titillium Web" w:hAnsi="Titillium Web"/>
                <w:i/>
                <w:iCs/>
              </w:rPr>
              <w:t>tomba 3 – a umazione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 xml:space="preserve">Questa tomba distava m. 2 circa a nord della </w:t>
            </w:r>
            <w:proofErr w:type="gramStart"/>
            <w:r w:rsidRPr="732835C3">
              <w:rPr>
                <w:rFonts w:ascii="Titillium Web" w:hAnsi="Titillium Web"/>
                <w:i/>
                <w:iCs/>
              </w:rPr>
              <w:t>2a</w:t>
            </w:r>
            <w:proofErr w:type="gramEnd"/>
            <w:r w:rsidRPr="732835C3">
              <w:rPr>
                <w:rFonts w:ascii="Titillium Web" w:hAnsi="Titillium Web"/>
                <w:i/>
                <w:iCs/>
              </w:rPr>
              <w:t xml:space="preserve"> ed era sepolta alla profondità di m. 0,6 nella sabbia. Conteneva: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 xml:space="preserve">1 kelebe </w:t>
            </w:r>
            <w:r w:rsidR="39125F68" w:rsidRPr="732835C3">
              <w:rPr>
                <w:rFonts w:ascii="Titillium Web" w:hAnsi="Titillium Web"/>
                <w:i/>
                <w:iCs/>
              </w:rPr>
              <w:t>fi</w:t>
            </w:r>
            <w:r w:rsidRPr="732835C3">
              <w:rPr>
                <w:rFonts w:ascii="Titillium Web" w:hAnsi="Titillium Web"/>
                <w:i/>
                <w:iCs/>
              </w:rPr>
              <w:t>gurata in pezzi, a figure rosse su fondo nero di disegno e di maniera trascurato: rappresenta scena di addio. I frammenti vi sono tutti ed è restaurabile.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>2 anforine (leggi oinochoai) a ver. nera. i manici verticali sono in pezzi. un fregio di ovuli gira attorno al maggior sviluppo del vaso. Misura 0,15 di altezza senza i manici.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>3 piattelli di terra giallognolo rossiccia, di fattura locale, in parte frammentati (frammenti di altri piatti).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>2 piccole scodelline di terra giallo rossiccia eguale.</w:t>
            </w:r>
            <w:r w:rsidR="001B5504">
              <w:br/>
            </w:r>
            <w:r w:rsidRPr="732835C3">
              <w:rPr>
                <w:rFonts w:ascii="Titillium Web" w:hAnsi="Titillium Web"/>
                <w:i/>
                <w:iCs/>
              </w:rPr>
              <w:t>Lo scheletro era orientato come il precedente.</w:t>
            </w:r>
          </w:p>
        </w:tc>
      </w:tr>
      <w:tr w:rsidR="001B5504" w:rsidRPr="00CC7EB1" w14:paraId="4CA65959" w14:textId="77777777" w:rsidTr="732835C3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4178477" w14:textId="23A5A3F4" w:rsidR="00CC7EB1" w:rsidRDefault="35FC9A07" w:rsidP="732835C3">
            <w:pPr>
              <w:jc w:val="center"/>
              <w:rPr>
                <w:rFonts w:ascii="Titillium Web" w:hAnsi="Titillium Web" w:cs="Times New Roman"/>
              </w:rPr>
            </w:pPr>
            <w:r w:rsidRPr="732835C3">
              <w:rPr>
                <w:rFonts w:ascii="Titillium Web" w:hAnsi="Titillium Web" w:cs="Times New Roman"/>
              </w:rPr>
              <w:t xml:space="preserve">Il corredo era organizzato in gruppi attorno al corpo del defunto ed era costituito da vasi attici a f.r. (nn. 1-3*), di cui le due </w:t>
            </w:r>
            <w:r w:rsidRPr="732835C3">
              <w:rPr>
                <w:rFonts w:ascii="Titillium Web" w:hAnsi="Titillium Web" w:cs="Times New Roman"/>
                <w:i/>
                <w:iCs/>
              </w:rPr>
              <w:t>oinocho</w:t>
            </w:r>
            <w:r w:rsidR="300468AC" w:rsidRPr="732835C3">
              <w:rPr>
                <w:rFonts w:ascii="Titillium Web" w:hAnsi="Titillium Web" w:cs="Times New Roman"/>
                <w:i/>
                <w:iCs/>
              </w:rPr>
              <w:t>a</w:t>
            </w:r>
            <w:r w:rsidRPr="732835C3">
              <w:rPr>
                <w:rFonts w:ascii="Titillium Web" w:hAnsi="Titillium Web" w:cs="Times New Roman"/>
                <w:i/>
                <w:iCs/>
              </w:rPr>
              <w:t xml:space="preserve">i </w:t>
            </w:r>
            <w:r w:rsidRPr="732835C3">
              <w:rPr>
                <w:rFonts w:ascii="Titillium Web" w:hAnsi="Titillium Web" w:cs="Times New Roman"/>
              </w:rPr>
              <w:t>risultano perdute, e vasi di produzione locale in ceramica depurata (nn. 4-12). Fra questi ultimi, oltre ai tre piatti menzionati nel GdS, sono stati considerati anche i frr. di piatti simili registrati in IG, che verosimilmente sono stati raccolti insieme al corredo ed indicati nel GdS come «</w:t>
            </w:r>
            <w:r w:rsidRPr="732835C3">
              <w:rPr>
                <w:rFonts w:ascii="Titillium Web" w:hAnsi="Titillium Web" w:cs="Times New Roman"/>
                <w:i/>
                <w:iCs/>
              </w:rPr>
              <w:t>frammenti di altri piatti</w:t>
            </w:r>
            <w:r w:rsidRPr="732835C3">
              <w:rPr>
                <w:rFonts w:ascii="Titillium Web" w:hAnsi="Titillium Web" w:cs="Times New Roman"/>
              </w:rPr>
              <w:t>».</w:t>
            </w:r>
          </w:p>
          <w:p w14:paraId="170E3420" w14:textId="2BDA8AC3" w:rsidR="00B30C8B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Pr="00CC7EB1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colonnette attico</w:t>
              </w:r>
            </w:hyperlink>
            <w:r w:rsidR="005A4531" w:rsidRPr="00CC7EB1">
              <w:rPr>
                <w:rFonts w:ascii="Titillium Web" w:hAnsi="Titillium Web"/>
                <w:szCs w:val="24"/>
              </w:rPr>
              <w:t xml:space="preserve"> (IG</w:t>
            </w:r>
            <w:r w:rsidR="00C90EC1" w:rsidRPr="00CC7EB1">
              <w:rPr>
                <w:rFonts w:ascii="Titillium Web" w:hAnsi="Titillium Web"/>
                <w:szCs w:val="24"/>
              </w:rPr>
              <w:t xml:space="preserve"> 2741; Figure rosse)</w:t>
            </w:r>
          </w:p>
          <w:p w14:paraId="70377B6B" w14:textId="6809BB88" w:rsidR="00B30C8B" w:rsidRPr="00CC7EB1" w:rsidRDefault="00B30C8B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2-3*. Oinochoe attica a bocca circolare</w:t>
            </w:r>
            <w:r w:rsidR="00DE3134" w:rsidRPr="00CC7EB1">
              <w:rPr>
                <w:rFonts w:ascii="Titillium Web" w:hAnsi="Titillium Web"/>
                <w:szCs w:val="24"/>
              </w:rPr>
              <w:t xml:space="preserve"> (Figure rosse)</w:t>
            </w:r>
          </w:p>
          <w:p w14:paraId="4A01F486" w14:textId="3AEB22F7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4. Coppa emisferica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2E1E69" w:rsidRPr="00CC7EB1">
              <w:rPr>
                <w:rFonts w:ascii="Titillium Web" w:hAnsi="Titillium Web"/>
                <w:szCs w:val="24"/>
              </w:rPr>
              <w:t xml:space="preserve"> (</w:t>
            </w:r>
            <w:r w:rsidR="002E1E69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361;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2E1E69" w:rsidRPr="00CC7EB1">
              <w:rPr>
                <w:rFonts w:ascii="Titillium Web" w:hAnsi="Titillium Web"/>
                <w:szCs w:val="24"/>
              </w:rPr>
              <w:t>)</w:t>
            </w:r>
          </w:p>
          <w:p w14:paraId="702F1FF9" w14:textId="69A91EEA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lastRenderedPageBreak/>
              <w:t xml:space="preserve">5. Coppa emisferica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9B70FE" w:rsidRPr="00CC7EB1">
              <w:rPr>
                <w:rFonts w:ascii="Titillium Web" w:hAnsi="Titillium Web"/>
                <w:szCs w:val="24"/>
              </w:rPr>
              <w:t xml:space="preserve"> (</w:t>
            </w:r>
            <w:r w:rsidR="009B70FE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360;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9B70FE" w:rsidRPr="00CC7EB1">
              <w:rPr>
                <w:rFonts w:ascii="Titillium Web" w:hAnsi="Titillium Web"/>
                <w:szCs w:val="24"/>
              </w:rPr>
              <w:t>)</w:t>
            </w:r>
          </w:p>
          <w:p w14:paraId="6FDFBDCD" w14:textId="1813F843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6.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A67FA0" w:rsidRPr="00CC7EB1">
              <w:rPr>
                <w:rFonts w:ascii="Titillium Web" w:hAnsi="Titillium Web"/>
                <w:szCs w:val="24"/>
              </w:rPr>
              <w:t xml:space="preserve"> (</w:t>
            </w:r>
            <w:r w:rsidR="00A67FA0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362;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A67FA0" w:rsidRPr="00CC7EB1">
              <w:rPr>
                <w:rFonts w:ascii="Titillium Web" w:hAnsi="Titillium Web"/>
                <w:szCs w:val="24"/>
              </w:rPr>
              <w:t>)</w:t>
            </w:r>
          </w:p>
          <w:p w14:paraId="7C374213" w14:textId="5127E27A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7.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B23A2D" w:rsidRPr="00CC7EB1">
              <w:rPr>
                <w:rFonts w:ascii="Titillium Web" w:hAnsi="Titillium Web"/>
                <w:szCs w:val="24"/>
              </w:rPr>
              <w:t xml:space="preserve"> (</w:t>
            </w:r>
            <w:r w:rsidR="00B23A2D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363;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B23A2D" w:rsidRPr="00CC7EB1">
              <w:rPr>
                <w:rFonts w:ascii="Titillium Web" w:hAnsi="Titillium Web"/>
                <w:szCs w:val="24"/>
              </w:rPr>
              <w:t>)</w:t>
            </w:r>
          </w:p>
          <w:p w14:paraId="5CA0F37C" w14:textId="0651135B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8.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 xml:space="preserve">locale </w:t>
            </w:r>
            <w:r w:rsidR="00B23A2D" w:rsidRPr="00CC7EB1">
              <w:rPr>
                <w:rFonts w:ascii="Titillium Web" w:hAnsi="Titillium Web"/>
                <w:szCs w:val="24"/>
              </w:rPr>
              <w:t>(</w:t>
            </w:r>
            <w:r w:rsidR="00B00C2A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15856;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B00C2A" w:rsidRPr="00CC7EB1">
              <w:rPr>
                <w:rFonts w:ascii="Titillium Web" w:hAnsi="Titillium Web"/>
                <w:szCs w:val="24"/>
              </w:rPr>
              <w:t>)</w:t>
            </w:r>
          </w:p>
          <w:p w14:paraId="7AA817A7" w14:textId="5C926681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9.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687538" w:rsidRPr="00CC7EB1">
              <w:rPr>
                <w:rFonts w:ascii="Titillium Web" w:hAnsi="Titillium Web"/>
                <w:szCs w:val="24"/>
              </w:rPr>
              <w:t xml:space="preserve"> (</w:t>
            </w:r>
            <w:r w:rsidR="00687538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364;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687538" w:rsidRPr="00CC7EB1">
              <w:rPr>
                <w:rFonts w:ascii="Titillium Web" w:hAnsi="Titillium Web"/>
                <w:szCs w:val="24"/>
              </w:rPr>
              <w:t>)</w:t>
            </w:r>
          </w:p>
          <w:p w14:paraId="297EE04D" w14:textId="1F75E2D1" w:rsidR="00DE3134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10.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943842" w:rsidRPr="00CC7EB1">
              <w:rPr>
                <w:rFonts w:ascii="Titillium Web" w:hAnsi="Titillium Web"/>
                <w:szCs w:val="24"/>
              </w:rPr>
              <w:t xml:space="preserve"> (</w:t>
            </w:r>
            <w:r w:rsidR="00943842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15852;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943842" w:rsidRPr="00CC7EB1">
              <w:rPr>
                <w:rFonts w:ascii="Titillium Web" w:hAnsi="Titillium Web"/>
                <w:szCs w:val="24"/>
              </w:rPr>
              <w:t>)</w:t>
            </w:r>
          </w:p>
          <w:p w14:paraId="6BE6BF4F" w14:textId="5FAA5CC6" w:rsidR="005A4531" w:rsidRPr="00CC7EB1" w:rsidRDefault="001B5504" w:rsidP="00CC7EB1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11.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82099E" w:rsidRPr="00CC7EB1">
              <w:rPr>
                <w:rFonts w:ascii="Titillium Web" w:hAnsi="Titillium Web"/>
                <w:szCs w:val="24"/>
              </w:rPr>
              <w:t xml:space="preserve"> (</w:t>
            </w:r>
            <w:r w:rsidR="0082099E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15859;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82099E" w:rsidRPr="00CC7EB1">
              <w:rPr>
                <w:rFonts w:ascii="Titillium Web" w:hAnsi="Titillium Web"/>
                <w:szCs w:val="24"/>
              </w:rPr>
              <w:t>)</w:t>
            </w:r>
          </w:p>
          <w:p w14:paraId="5EE32F9C" w14:textId="51F18E41" w:rsidR="001B5504" w:rsidRPr="00CC7EB1" w:rsidRDefault="001B5504" w:rsidP="00CC7EB1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 xml:space="preserve">12. Piatto di </w:t>
            </w:r>
            <w:r w:rsidR="00A16E5B">
              <w:rPr>
                <w:rFonts w:ascii="Titillium Web" w:hAnsi="Titillium Web"/>
                <w:szCs w:val="24"/>
              </w:rPr>
              <w:t xml:space="preserve">produzione </w:t>
            </w:r>
            <w:r w:rsidRPr="00CC7EB1">
              <w:rPr>
                <w:rFonts w:ascii="Titillium Web" w:hAnsi="Titillium Web"/>
                <w:szCs w:val="24"/>
              </w:rPr>
              <w:t>locale</w:t>
            </w:r>
            <w:r w:rsidR="00FA7D68" w:rsidRPr="00CC7EB1">
              <w:rPr>
                <w:rFonts w:ascii="Titillium Web" w:hAnsi="Titillium Web"/>
                <w:szCs w:val="24"/>
              </w:rPr>
              <w:t xml:space="preserve"> (</w:t>
            </w:r>
            <w:r w:rsidR="00FA7D68" w:rsidRPr="00CC7EB1">
              <w:rPr>
                <w:rFonts w:ascii="Titillium Web" w:eastAsia="Calibri" w:hAnsi="Titillium Web" w:cs="Times New Roman"/>
                <w:color w:val="000000"/>
                <w:szCs w:val="24"/>
              </w:rPr>
              <w:t xml:space="preserve">IG 15858; </w:t>
            </w:r>
            <w:r w:rsidRPr="00CC7EB1">
              <w:rPr>
                <w:rFonts w:ascii="Titillium Web" w:hAnsi="Titillium Web"/>
                <w:szCs w:val="24"/>
              </w:rPr>
              <w:t>ceramica depurata</w:t>
            </w:r>
            <w:r w:rsidR="00FA7D68" w:rsidRPr="00CC7EB1">
              <w:rPr>
                <w:rFonts w:ascii="Titillium Web" w:hAnsi="Titillium Web"/>
                <w:szCs w:val="24"/>
              </w:rPr>
              <w:t>)</w:t>
            </w:r>
          </w:p>
        </w:tc>
      </w:tr>
      <w:tr w:rsidR="001B5504" w:rsidRPr="00CC7EB1" w14:paraId="520D9732" w14:textId="77777777" w:rsidTr="732835C3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0EC1638" w:rsidR="001B5504" w:rsidRPr="00CC7EB1" w:rsidRDefault="00FA7D6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1B5504" w:rsidRPr="00CC7EB1" w14:paraId="05ACB002" w14:textId="77777777" w:rsidTr="732835C3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8106461" w:rsidR="001B5504" w:rsidRPr="00CC7EB1" w:rsidRDefault="00BA5F8F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Si escludono dal corredo vasi di produzione attica, volterrana e locale, nonché una coppia di fusaiole in ferro e in terracotta, poiché non menzionati nel GdS o non corrispondenti alle descrizioni dei materiali rinvenuti nella tomba.</w:t>
            </w:r>
          </w:p>
        </w:tc>
      </w:tr>
      <w:tr w:rsidR="001B5504" w:rsidRPr="00CC7EB1" w14:paraId="6E424069" w14:textId="77777777" w:rsidTr="732835C3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CC7EB1" w14:paraId="7C1BF645" w14:textId="77777777" w:rsidTr="732835C3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1799ABF0" w:rsidR="001B5504" w:rsidRPr="00CC7EB1" w:rsidRDefault="009432D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C7EB1" w14:paraId="498C4222" w14:textId="77777777" w:rsidTr="732835C3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02C64DBD" w:rsidR="001B5504" w:rsidRPr="00CC7EB1" w:rsidRDefault="00A16E5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Subadulto + Adulto</w:t>
            </w:r>
          </w:p>
        </w:tc>
      </w:tr>
      <w:tr w:rsidR="001B5504" w:rsidRPr="00CC7EB1" w14:paraId="698056B7" w14:textId="77777777" w:rsidTr="732835C3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zCs w:val="24"/>
              </w:rPr>
              <w:t>475-425 a.C.</w:t>
            </w:r>
          </w:p>
        </w:tc>
      </w:tr>
      <w:tr w:rsidR="001B5504" w:rsidRPr="00CC7EB1" w14:paraId="3105DEE4" w14:textId="77777777" w:rsidTr="732835C3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Muggia</w:t>
            </w:r>
            <w:r w:rsidRPr="00CC7EB1">
              <w:rPr>
                <w:rFonts w:ascii="Titillium Web" w:hAnsi="Titillium Web"/>
                <w:szCs w:val="24"/>
              </w:rPr>
              <w:t xml:space="preserve"> 2004, pp. 53-54; </w:t>
            </w:r>
            <w:r w:rsidRPr="00CC7EB1">
              <w:rPr>
                <w:rFonts w:ascii="Titillium Web" w:hAnsi="Titillium Web"/>
                <w:smallCaps/>
                <w:szCs w:val="24"/>
              </w:rPr>
              <w:t>Serra</w:t>
            </w:r>
            <w:r w:rsidRPr="00CC7EB1">
              <w:rPr>
                <w:rFonts w:ascii="Titillium Web" w:hAnsi="Titillium Web"/>
                <w:szCs w:val="24"/>
              </w:rPr>
              <w:t xml:space="preserve"> 2025, pp. 110, tab. 7, 233, tav. X, nn. 1-2.</w:t>
            </w:r>
          </w:p>
        </w:tc>
      </w:tr>
      <w:tr w:rsidR="001B5504" w:rsidRPr="00CC7EB1" w14:paraId="6887A6E3" w14:textId="77777777" w:rsidTr="732835C3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C7EB1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C7EB1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C7EB1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E1E69"/>
    <w:rsid w:val="002F1500"/>
    <w:rsid w:val="00472AF4"/>
    <w:rsid w:val="005A4531"/>
    <w:rsid w:val="005B5AFF"/>
    <w:rsid w:val="0068458A"/>
    <w:rsid w:val="00687538"/>
    <w:rsid w:val="00710B38"/>
    <w:rsid w:val="007145BC"/>
    <w:rsid w:val="007D54CD"/>
    <w:rsid w:val="0082099E"/>
    <w:rsid w:val="00840AA7"/>
    <w:rsid w:val="008D0E0D"/>
    <w:rsid w:val="00942E70"/>
    <w:rsid w:val="009432DB"/>
    <w:rsid w:val="00943842"/>
    <w:rsid w:val="00943EAC"/>
    <w:rsid w:val="00950348"/>
    <w:rsid w:val="00975CA9"/>
    <w:rsid w:val="00997946"/>
    <w:rsid w:val="009B70FE"/>
    <w:rsid w:val="009E4922"/>
    <w:rsid w:val="00A16E5B"/>
    <w:rsid w:val="00A52A70"/>
    <w:rsid w:val="00A67FA0"/>
    <w:rsid w:val="00AD4392"/>
    <w:rsid w:val="00B00C2A"/>
    <w:rsid w:val="00B165C4"/>
    <w:rsid w:val="00B23A2D"/>
    <w:rsid w:val="00B30C8B"/>
    <w:rsid w:val="00B86B2D"/>
    <w:rsid w:val="00BA5F8F"/>
    <w:rsid w:val="00BE2CB2"/>
    <w:rsid w:val="00BE63CC"/>
    <w:rsid w:val="00BF212E"/>
    <w:rsid w:val="00C21EE0"/>
    <w:rsid w:val="00C30F5C"/>
    <w:rsid w:val="00C90EC1"/>
    <w:rsid w:val="00CC05AF"/>
    <w:rsid w:val="00CC46E5"/>
    <w:rsid w:val="00CC7EB1"/>
    <w:rsid w:val="00D54723"/>
    <w:rsid w:val="00DB1668"/>
    <w:rsid w:val="00DE3134"/>
    <w:rsid w:val="00E0524C"/>
    <w:rsid w:val="00FA7D68"/>
    <w:rsid w:val="21D04932"/>
    <w:rsid w:val="300468AC"/>
    <w:rsid w:val="35FC9A07"/>
    <w:rsid w:val="39125F68"/>
    <w:rsid w:val="6B2BC71D"/>
    <w:rsid w:val="7328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8D0E0D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8D0E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EC9711F6-DC47-43AA-B60B-7EEFE78BEBB7%7d&amp;noResults=1&amp;recordCount=1&amp;databaseID=%7b12FC52A7-0E32-4A81-9FFA-C8C6CF430677%7d&amp;search=%20%7bAND%7d%202065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30</cp:revision>
  <dcterms:created xsi:type="dcterms:W3CDTF">2026-04-28T14:33:00Z</dcterms:created>
  <dcterms:modified xsi:type="dcterms:W3CDTF">2026-05-18T07:50:00Z</dcterms:modified>
</cp:coreProperties>
</file>