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300</w:t>
      </w:r>
    </w:p>
    <w:tbl>
      <w:tblPr>
        <w:tblStyle w:val="Grigliatabella"/>
        <w:tblW w:w="5000" w:type="pct"/>
        <w:jc w:val="center"/>
        <w:tblLook w:val="04A0" w:firstRow="1" w:lastRow="0" w:firstColumn="1" w:lastColumn="0" w:noHBand="0" w:noVBand="1"/>
      </w:tblPr>
      <w:tblGrid>
        <w:gridCol w:w="2990"/>
        <w:gridCol w:w="6070"/>
      </w:tblGrid>
      <w:tr w:rsidR="0086297F" w:rsidRPr="00E62DB3" w14:paraId="69604347" w14:textId="77777777" w:rsidTr="002665C6">
        <w:trPr>
          <w:jc w:val="center"/>
        </w:trPr>
        <w:tc>
          <w:tcPr>
            <w:tcW w:w="1650" w:type="pct"/>
            <w:vAlign w:val="center"/>
          </w:tcPr>
          <w:p w14:paraId="59258D49"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Anno di rinvenimento</w:t>
            </w:r>
          </w:p>
        </w:tc>
        <w:tc>
          <w:tcPr>
            <w:tcW w:w="3350" w:type="pct"/>
            <w:vAlign w:val="center"/>
          </w:tcPr>
          <w:p w14:paraId="10AA1E7C" w14:textId="59BFE2EE" w:rsidR="0086297F" w:rsidRPr="00E62DB3" w:rsidRDefault="0086297F" w:rsidP="002665C6">
            <w:pPr>
              <w:jc w:val="center"/>
              <w:rPr>
                <w:rFonts w:ascii="Titillium Web" w:hAnsi="Titillium Web"/>
                <w:szCs w:val="24"/>
              </w:rPr>
            </w:pPr>
            <w:r w:rsidRPr="00E62DB3">
              <w:rPr>
                <w:rFonts w:ascii="Titillium Web" w:hAnsi="Titillium Web"/>
                <w:szCs w:val="24"/>
              </w:rPr>
              <w:t>1924</w:t>
            </w:r>
          </w:p>
        </w:tc>
      </w:tr>
      <w:tr w:rsidR="0086297F" w:rsidRPr="00E62DB3" w14:paraId="3B6B9C62" w14:textId="77777777" w:rsidTr="002665C6">
        <w:trPr>
          <w:jc w:val="center"/>
        </w:trPr>
        <w:tc>
          <w:tcPr>
            <w:tcW w:w="1650" w:type="pct"/>
            <w:vAlign w:val="center"/>
          </w:tcPr>
          <w:p w14:paraId="2D01D888"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Stato di conservazione della tomba</w:t>
            </w:r>
          </w:p>
        </w:tc>
        <w:tc>
          <w:tcPr>
            <w:tcW w:w="3350" w:type="pct"/>
            <w:vAlign w:val="center"/>
          </w:tcPr>
          <w:p w14:paraId="3ADC95CD" w14:textId="31719CCD" w:rsidR="0086297F" w:rsidRPr="00E62DB3" w:rsidRDefault="0086297F" w:rsidP="002665C6">
            <w:pPr>
              <w:jc w:val="center"/>
              <w:rPr>
                <w:rFonts w:ascii="Titillium Web" w:hAnsi="Titillium Web"/>
                <w:szCs w:val="24"/>
              </w:rPr>
            </w:pPr>
            <w:r w:rsidRPr="00E62DB3">
              <w:rPr>
                <w:rFonts w:ascii="Titillium Web" w:hAnsi="Titillium Web"/>
                <w:szCs w:val="24"/>
              </w:rPr>
              <w:t>Sconvolta</w:t>
            </w:r>
          </w:p>
        </w:tc>
      </w:tr>
      <w:tr w:rsidR="0086297F" w:rsidRPr="00E62DB3" w14:paraId="3D165E1E" w14:textId="77777777" w:rsidTr="002665C6">
        <w:trPr>
          <w:jc w:val="center"/>
        </w:trPr>
        <w:tc>
          <w:tcPr>
            <w:tcW w:w="1650" w:type="pct"/>
            <w:vAlign w:val="center"/>
          </w:tcPr>
          <w:p w14:paraId="2A5B3D4F"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Rito di seppellimento</w:t>
            </w:r>
          </w:p>
        </w:tc>
        <w:tc>
          <w:tcPr>
            <w:tcW w:w="3350" w:type="pct"/>
            <w:vAlign w:val="center"/>
          </w:tcPr>
          <w:p w14:paraId="094BD426" w14:textId="6E99443A" w:rsidR="0086297F" w:rsidRPr="00E62DB3" w:rsidRDefault="0086297F" w:rsidP="002665C6">
            <w:pPr>
              <w:jc w:val="center"/>
              <w:rPr>
                <w:rFonts w:ascii="Titillium Web" w:hAnsi="Titillium Web"/>
                <w:szCs w:val="24"/>
              </w:rPr>
            </w:pPr>
            <w:r w:rsidRPr="00E62DB3">
              <w:rPr>
                <w:rFonts w:ascii="Titillium Web" w:hAnsi="Titillium Web"/>
                <w:szCs w:val="24"/>
              </w:rPr>
              <w:t>Inumazione</w:t>
            </w:r>
          </w:p>
        </w:tc>
      </w:tr>
      <w:tr w:rsidR="0086297F" w:rsidRPr="00E62DB3" w14:paraId="44CADBCB" w14:textId="77777777" w:rsidTr="002665C6">
        <w:trPr>
          <w:jc w:val="center"/>
        </w:trPr>
        <w:tc>
          <w:tcPr>
            <w:tcW w:w="1650" w:type="pct"/>
            <w:vAlign w:val="center"/>
          </w:tcPr>
          <w:p w14:paraId="1E25741A"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Struttura tomba</w:t>
            </w:r>
          </w:p>
        </w:tc>
        <w:tc>
          <w:tcPr>
            <w:tcW w:w="3350" w:type="pct"/>
            <w:vAlign w:val="center"/>
          </w:tcPr>
          <w:p w14:paraId="1DE3BCB3" w14:textId="08DB6A85" w:rsidR="0086297F" w:rsidRPr="00E62DB3" w:rsidRDefault="0086297F" w:rsidP="002665C6">
            <w:pPr>
              <w:jc w:val="center"/>
              <w:rPr>
                <w:rFonts w:ascii="Titillium Web" w:hAnsi="Titillium Web"/>
                <w:szCs w:val="24"/>
              </w:rPr>
            </w:pPr>
            <w:r w:rsidRPr="00E62DB3">
              <w:rPr>
                <w:rFonts w:ascii="Titillium Web" w:hAnsi="Titillium Web"/>
                <w:szCs w:val="24"/>
              </w:rPr>
              <w:t>fossa semplice, forma non registrata</w:t>
            </w:r>
          </w:p>
        </w:tc>
      </w:tr>
      <w:tr w:rsidR="0086297F" w:rsidRPr="00E62DB3" w14:paraId="47E1F943" w14:textId="77777777" w:rsidTr="002665C6">
        <w:trPr>
          <w:jc w:val="center"/>
        </w:trPr>
        <w:tc>
          <w:tcPr>
            <w:tcW w:w="1650" w:type="pct"/>
            <w:vAlign w:val="center"/>
          </w:tcPr>
          <w:p w14:paraId="355EE080"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 xml:space="preserve">Profondità dal piano di campagna </w:t>
            </w:r>
          </w:p>
        </w:tc>
        <w:tc>
          <w:tcPr>
            <w:tcW w:w="3350" w:type="pct"/>
            <w:vAlign w:val="center"/>
          </w:tcPr>
          <w:p w14:paraId="13D75B9B" w14:textId="6492371F" w:rsidR="0086297F" w:rsidRPr="00E62DB3" w:rsidRDefault="0086297F" w:rsidP="002665C6">
            <w:pPr>
              <w:jc w:val="center"/>
              <w:rPr>
                <w:rFonts w:ascii="Titillium Web" w:hAnsi="Titillium Web"/>
                <w:szCs w:val="24"/>
              </w:rPr>
            </w:pPr>
            <w:r w:rsidRPr="00E62DB3">
              <w:rPr>
                <w:rFonts w:ascii="Titillium Web" w:hAnsi="Titillium Web"/>
                <w:szCs w:val="24"/>
              </w:rPr>
              <w:t>1 m</w:t>
            </w:r>
          </w:p>
        </w:tc>
      </w:tr>
      <w:tr w:rsidR="0086297F" w:rsidRPr="00E62DB3" w14:paraId="75BC79FE" w14:textId="77777777" w:rsidTr="002665C6">
        <w:trPr>
          <w:jc w:val="center"/>
        </w:trPr>
        <w:tc>
          <w:tcPr>
            <w:tcW w:w="1650" w:type="pct"/>
            <w:vAlign w:val="center"/>
          </w:tcPr>
          <w:p w14:paraId="432462C5"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Dimensioni della sepoltura</w:t>
            </w:r>
          </w:p>
        </w:tc>
        <w:tc>
          <w:tcPr>
            <w:tcW w:w="3350" w:type="pct"/>
            <w:vAlign w:val="center"/>
          </w:tcPr>
          <w:p w14:paraId="65EDFAD4" w14:textId="5859930D" w:rsidR="0086297F" w:rsidRPr="00E62DB3" w:rsidRDefault="0086297F" w:rsidP="002665C6">
            <w:pPr>
              <w:jc w:val="center"/>
              <w:rPr>
                <w:rFonts w:ascii="Titillium Web" w:hAnsi="Titillium Web"/>
                <w:szCs w:val="24"/>
              </w:rPr>
            </w:pPr>
            <w:r w:rsidRPr="00E62DB3">
              <w:rPr>
                <w:rFonts w:ascii="Titillium Web" w:hAnsi="Titillium Web"/>
                <w:szCs w:val="24"/>
              </w:rPr>
              <w:t>Dimensioni non registrate</w:t>
            </w:r>
          </w:p>
        </w:tc>
      </w:tr>
      <w:tr w:rsidR="0086297F" w:rsidRPr="00E62DB3" w14:paraId="35E5C09E" w14:textId="77777777" w:rsidTr="002665C6">
        <w:trPr>
          <w:jc w:val="center"/>
        </w:trPr>
        <w:tc>
          <w:tcPr>
            <w:tcW w:w="1650" w:type="pct"/>
            <w:vAlign w:val="center"/>
          </w:tcPr>
          <w:p w14:paraId="5AA10374"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Orientamento dello scheletro</w:t>
            </w:r>
          </w:p>
        </w:tc>
        <w:tc>
          <w:tcPr>
            <w:tcW w:w="3350" w:type="pct"/>
            <w:vAlign w:val="center"/>
          </w:tcPr>
          <w:p w14:paraId="6E0E4E7B" w14:textId="7F6B3E0C" w:rsidR="0086297F" w:rsidRPr="00E62DB3" w:rsidRDefault="0086297F" w:rsidP="002665C6">
            <w:pPr>
              <w:jc w:val="center"/>
              <w:rPr>
                <w:rFonts w:ascii="Titillium Web" w:hAnsi="Titillium Web"/>
                <w:szCs w:val="24"/>
              </w:rPr>
            </w:pPr>
            <w:r w:rsidRPr="00E62DB3">
              <w:rPr>
                <w:rFonts w:ascii="Titillium Web" w:hAnsi="Titillium Web"/>
                <w:szCs w:val="24"/>
              </w:rPr>
              <w:t>NW-SE</w:t>
            </w:r>
          </w:p>
        </w:tc>
      </w:tr>
      <w:tr w:rsidR="0086297F" w:rsidRPr="00E62DB3" w14:paraId="71236441" w14:textId="77777777" w:rsidTr="002665C6">
        <w:trPr>
          <w:jc w:val="center"/>
        </w:trPr>
        <w:tc>
          <w:tcPr>
            <w:tcW w:w="1650" w:type="pct"/>
            <w:vAlign w:val="center"/>
          </w:tcPr>
          <w:p w14:paraId="4A1B31A8"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Segnacolo</w:t>
            </w:r>
          </w:p>
        </w:tc>
        <w:tc>
          <w:tcPr>
            <w:tcW w:w="3350" w:type="pct"/>
            <w:vAlign w:val="center"/>
          </w:tcPr>
          <w:p w14:paraId="104CE615" w14:textId="50385AE1" w:rsidR="0086297F" w:rsidRPr="00E62DB3" w:rsidRDefault="0086297F" w:rsidP="002665C6">
            <w:pPr>
              <w:jc w:val="center"/>
              <w:rPr>
                <w:rFonts w:ascii="Titillium Web" w:hAnsi="Titillium Web"/>
                <w:szCs w:val="24"/>
              </w:rPr>
            </w:pPr>
            <w:r w:rsidRPr="00E62DB3">
              <w:rPr>
                <w:rFonts w:ascii="Titillium Web" w:hAnsi="Titillium Web"/>
                <w:szCs w:val="24"/>
              </w:rPr>
              <w:t>/</w:t>
            </w:r>
          </w:p>
        </w:tc>
      </w:tr>
      <w:tr w:rsidR="0086297F" w:rsidRPr="00E62DB3" w14:paraId="6D6CBA71" w14:textId="77777777" w:rsidTr="002665C6">
        <w:trPr>
          <w:jc w:val="center"/>
        </w:trPr>
        <w:tc>
          <w:tcPr>
            <w:tcW w:w="1650" w:type="pct"/>
            <w:vAlign w:val="center"/>
          </w:tcPr>
          <w:p w14:paraId="75CA0D64"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Giornale di scavo</w:t>
            </w:r>
          </w:p>
        </w:tc>
        <w:tc>
          <w:tcPr>
            <w:tcW w:w="3350" w:type="pct"/>
            <w:vAlign w:val="center"/>
          </w:tcPr>
          <w:p w14:paraId="1AA2D09C" w14:textId="77777777" w:rsidR="00874AA7" w:rsidRPr="00E62DB3" w:rsidRDefault="002B5CEB">
            <w:pPr>
              <w:rPr>
                <w:rFonts w:ascii="Titillium Web" w:hAnsi="Titillium Web"/>
                <w:i/>
                <w:iCs/>
                <w:szCs w:val="24"/>
              </w:rPr>
            </w:pPr>
            <w:r w:rsidRPr="00E62DB3">
              <w:rPr>
                <w:rFonts w:ascii="Titillium Web" w:hAnsi="Titillium Web"/>
                <w:i/>
                <w:iCs/>
                <w:szCs w:val="24"/>
              </w:rPr>
              <w:t>Tomba 300 - a umazione</w:t>
            </w:r>
          </w:p>
          <w:p w14:paraId="7329A498" w14:textId="77777777" w:rsidR="00874AA7" w:rsidRPr="00E62DB3" w:rsidRDefault="002B5CEB">
            <w:pPr>
              <w:rPr>
                <w:rFonts w:ascii="Titillium Web" w:hAnsi="Titillium Web"/>
                <w:i/>
                <w:iCs/>
                <w:szCs w:val="24"/>
              </w:rPr>
            </w:pPr>
            <w:r w:rsidRPr="00E62DB3">
              <w:rPr>
                <w:rFonts w:ascii="Titillium Web" w:hAnsi="Titillium Web"/>
                <w:i/>
                <w:iCs/>
                <w:szCs w:val="24"/>
              </w:rPr>
              <w:t>Sconvolta -</w:t>
            </w:r>
          </w:p>
          <w:p w14:paraId="1F9C56B4" w14:textId="77777777" w:rsidR="00874AA7" w:rsidRPr="00E62DB3" w:rsidRDefault="002B5CEB">
            <w:pPr>
              <w:rPr>
                <w:rFonts w:ascii="Titillium Web" w:hAnsi="Titillium Web"/>
                <w:i/>
                <w:iCs/>
                <w:szCs w:val="24"/>
              </w:rPr>
            </w:pPr>
            <w:r w:rsidRPr="00E62DB3">
              <w:rPr>
                <w:rFonts w:ascii="Titillium Web" w:hAnsi="Titillium Web"/>
                <w:i/>
                <w:iCs/>
                <w:szCs w:val="24"/>
              </w:rPr>
              <w:t>A m. 11 dal limite nord del nuovo scavo e a m. 17 dallo scolo B, a m. 1 di profondità giaceva uno scheletro scomposto.</w:t>
            </w:r>
          </w:p>
          <w:p w14:paraId="4BB6F80E" w14:textId="77777777" w:rsidR="00874AA7" w:rsidRPr="00E62DB3" w:rsidRDefault="002B5CEB">
            <w:pPr>
              <w:rPr>
                <w:rFonts w:ascii="Titillium Web" w:hAnsi="Titillium Web"/>
                <w:i/>
                <w:iCs/>
                <w:szCs w:val="24"/>
              </w:rPr>
            </w:pPr>
            <w:r w:rsidRPr="00E62DB3">
              <w:rPr>
                <w:rFonts w:ascii="Titillium Web" w:hAnsi="Titillium Web"/>
                <w:i/>
                <w:iCs/>
                <w:szCs w:val="24"/>
              </w:rPr>
              <w:t xml:space="preserve">Aveva la testa a NO e il resto delle ossa sconvolte verso </w:t>
            </w:r>
            <w:proofErr w:type="gramStart"/>
            <w:r w:rsidRPr="00E62DB3">
              <w:rPr>
                <w:rFonts w:ascii="Titillium Web" w:hAnsi="Titillium Web"/>
                <w:i/>
                <w:iCs/>
                <w:szCs w:val="24"/>
              </w:rPr>
              <w:t>SE</w:t>
            </w:r>
            <w:proofErr w:type="gramEnd"/>
            <w:r w:rsidRPr="00E62DB3">
              <w:rPr>
                <w:rFonts w:ascii="Titillium Web" w:hAnsi="Titillium Web"/>
                <w:i/>
                <w:iCs/>
                <w:szCs w:val="24"/>
              </w:rPr>
              <w:t>.</w:t>
            </w:r>
          </w:p>
          <w:p w14:paraId="4557018F" w14:textId="77777777" w:rsidR="00874AA7" w:rsidRPr="00E62DB3" w:rsidRDefault="002B5CEB">
            <w:pPr>
              <w:rPr>
                <w:rFonts w:ascii="Titillium Web" w:hAnsi="Titillium Web"/>
                <w:i/>
                <w:iCs/>
                <w:szCs w:val="24"/>
              </w:rPr>
            </w:pPr>
            <w:r w:rsidRPr="00E62DB3">
              <w:rPr>
                <w:rFonts w:ascii="Titillium Web" w:hAnsi="Titillium Web"/>
                <w:i/>
                <w:iCs/>
                <w:szCs w:val="24"/>
              </w:rPr>
              <w:t>Presso la testa si rinvennero:</w:t>
            </w:r>
          </w:p>
          <w:p w14:paraId="35E3A7F0" w14:textId="77777777" w:rsidR="00874AA7" w:rsidRPr="00E62DB3" w:rsidRDefault="002B5CEB">
            <w:pPr>
              <w:rPr>
                <w:rFonts w:ascii="Titillium Web" w:hAnsi="Titillium Web"/>
                <w:i/>
                <w:iCs/>
                <w:szCs w:val="24"/>
              </w:rPr>
            </w:pPr>
            <w:proofErr w:type="gramStart"/>
            <w:r w:rsidRPr="00E62DB3">
              <w:rPr>
                <w:rFonts w:ascii="Titillium Web" w:hAnsi="Titillium Web"/>
                <w:i/>
                <w:iCs/>
                <w:szCs w:val="24"/>
              </w:rPr>
              <w:t>2</w:t>
            </w:r>
            <w:proofErr w:type="gramEnd"/>
            <w:r w:rsidRPr="00E62DB3">
              <w:rPr>
                <w:rFonts w:ascii="Titillium Web" w:hAnsi="Titillium Web"/>
                <w:i/>
                <w:iCs/>
                <w:szCs w:val="24"/>
              </w:rPr>
              <w:t xml:space="preserve"> orecchini d’oro, di foglie sottili e battuto a sbalzo raffigurante una testa di ariete (?) che abbocca la coda. Sono vuoti (diam. 0,025)</w:t>
            </w:r>
          </w:p>
          <w:p w14:paraId="79AE659F" w14:textId="77777777" w:rsidR="00874AA7" w:rsidRPr="00E62DB3" w:rsidRDefault="002B5CEB">
            <w:pPr>
              <w:rPr>
                <w:rFonts w:ascii="Titillium Web" w:hAnsi="Titillium Web"/>
                <w:i/>
                <w:iCs/>
                <w:szCs w:val="24"/>
              </w:rPr>
            </w:pPr>
            <w:r w:rsidRPr="00E62DB3">
              <w:rPr>
                <w:rFonts w:ascii="Titillium Web" w:hAnsi="Titillium Web"/>
                <w:i/>
                <w:iCs/>
                <w:szCs w:val="24"/>
              </w:rPr>
              <w:t>1 fusarola di pasta vitrea scura con picchiettature bianche -</w:t>
            </w:r>
          </w:p>
          <w:p w14:paraId="327D70E2" w14:textId="77777777" w:rsidR="00874AA7" w:rsidRPr="00E62DB3" w:rsidRDefault="002B5CEB">
            <w:pPr>
              <w:rPr>
                <w:rFonts w:ascii="Titillium Web" w:hAnsi="Titillium Web"/>
                <w:i/>
                <w:iCs/>
                <w:szCs w:val="24"/>
              </w:rPr>
            </w:pPr>
            <w:r w:rsidRPr="00E62DB3">
              <w:rPr>
                <w:rFonts w:ascii="Titillium Web" w:hAnsi="Titillium Web"/>
                <w:i/>
                <w:iCs/>
                <w:szCs w:val="24"/>
              </w:rPr>
              <w:t>A destra dello scheletro:</w:t>
            </w:r>
          </w:p>
          <w:p w14:paraId="11606C24" w14:textId="77777777" w:rsidR="00874AA7" w:rsidRPr="00E62DB3" w:rsidRDefault="002B5CEB">
            <w:pPr>
              <w:rPr>
                <w:rFonts w:ascii="Titillium Web" w:hAnsi="Titillium Web"/>
                <w:i/>
                <w:iCs/>
                <w:szCs w:val="24"/>
              </w:rPr>
            </w:pPr>
            <w:r w:rsidRPr="00E62DB3">
              <w:rPr>
                <w:rFonts w:ascii="Titillium Web" w:hAnsi="Titillium Web"/>
                <w:i/>
                <w:iCs/>
                <w:szCs w:val="24"/>
              </w:rPr>
              <w:t>1 Oinocoe a forma di fiasco a bocca trilobata a ver. nera scadente e con ansa verticale - liscio.</w:t>
            </w:r>
          </w:p>
          <w:p w14:paraId="3B2152FB" w14:textId="77777777" w:rsidR="00874AA7" w:rsidRPr="00E62DB3" w:rsidRDefault="002B5CEB">
            <w:pPr>
              <w:rPr>
                <w:rFonts w:ascii="Titillium Web" w:hAnsi="Titillium Web"/>
                <w:i/>
                <w:iCs/>
                <w:szCs w:val="24"/>
              </w:rPr>
            </w:pPr>
            <w:r w:rsidRPr="00E62DB3">
              <w:rPr>
                <w:rFonts w:ascii="Titillium Web" w:hAnsi="Titillium Web"/>
                <w:i/>
                <w:iCs/>
                <w:szCs w:val="24"/>
              </w:rPr>
              <w:t>1 alabastrom, leggermente frammentario presso la bocca e frammenti di altro alabastrom schiacciato</w:t>
            </w:r>
          </w:p>
          <w:p w14:paraId="08793FFA" w14:textId="77777777" w:rsidR="00874AA7" w:rsidRPr="00E62DB3" w:rsidRDefault="002B5CEB">
            <w:pPr>
              <w:rPr>
                <w:rFonts w:ascii="Titillium Web" w:hAnsi="Titillium Web"/>
                <w:i/>
                <w:iCs/>
                <w:szCs w:val="24"/>
              </w:rPr>
            </w:pPr>
            <w:r w:rsidRPr="00E62DB3">
              <w:rPr>
                <w:rFonts w:ascii="Titillium Web" w:hAnsi="Titillium Web"/>
                <w:i/>
                <w:iCs/>
                <w:szCs w:val="24"/>
              </w:rPr>
              <w:t>6 ambre con foro pervio - (3 grani rotondi - 1 pendaglio frammentato, - uno testa animale? 1 a forma di vaso?)</w:t>
            </w:r>
          </w:p>
          <w:p w14:paraId="2E9816AA" w14:textId="77777777" w:rsidR="00874AA7" w:rsidRPr="00E62DB3" w:rsidRDefault="002B5CEB">
            <w:pPr>
              <w:rPr>
                <w:rFonts w:ascii="Titillium Web" w:hAnsi="Titillium Web"/>
                <w:i/>
                <w:iCs/>
                <w:szCs w:val="24"/>
              </w:rPr>
            </w:pPr>
            <w:proofErr w:type="gramStart"/>
            <w:r w:rsidRPr="00E62DB3">
              <w:rPr>
                <w:rFonts w:ascii="Titillium Web" w:hAnsi="Titillium Web"/>
                <w:i/>
                <w:iCs/>
                <w:szCs w:val="24"/>
              </w:rPr>
              <w:t>2</w:t>
            </w:r>
            <w:proofErr w:type="gramEnd"/>
            <w:r w:rsidRPr="00E62DB3">
              <w:rPr>
                <w:rFonts w:ascii="Titillium Web" w:hAnsi="Titillium Web"/>
                <w:i/>
                <w:iCs/>
                <w:szCs w:val="24"/>
              </w:rPr>
              <w:t xml:space="preserve"> frammentini di fibule d’argento? conservate.</w:t>
            </w:r>
          </w:p>
          <w:p w14:paraId="1BAA3E1E" w14:textId="77777777" w:rsidR="00874AA7" w:rsidRPr="00E62DB3" w:rsidRDefault="002B5CEB">
            <w:pPr>
              <w:rPr>
                <w:rFonts w:ascii="Titillium Web" w:hAnsi="Titillium Web"/>
                <w:i/>
                <w:iCs/>
                <w:szCs w:val="24"/>
              </w:rPr>
            </w:pPr>
            <w:proofErr w:type="gramStart"/>
            <w:r w:rsidRPr="00E62DB3">
              <w:rPr>
                <w:rFonts w:ascii="Titillium Web" w:hAnsi="Titillium Web"/>
                <w:i/>
                <w:iCs/>
                <w:szCs w:val="24"/>
              </w:rPr>
              <w:t>2</w:t>
            </w:r>
            <w:proofErr w:type="gramEnd"/>
            <w:r w:rsidRPr="00E62DB3">
              <w:rPr>
                <w:rFonts w:ascii="Titillium Web" w:hAnsi="Titillium Web"/>
                <w:i/>
                <w:iCs/>
                <w:szCs w:val="24"/>
              </w:rPr>
              <w:t xml:space="preserve"> frammenti informi di ferro</w:t>
            </w:r>
          </w:p>
          <w:p w14:paraId="6D1DCDE0" w14:textId="77777777" w:rsidR="00874AA7" w:rsidRPr="00E62DB3" w:rsidRDefault="002B5CEB">
            <w:pPr>
              <w:rPr>
                <w:rFonts w:ascii="Titillium Web" w:hAnsi="Titillium Web"/>
                <w:i/>
                <w:iCs/>
                <w:szCs w:val="24"/>
              </w:rPr>
            </w:pPr>
            <w:r w:rsidRPr="00E62DB3">
              <w:rPr>
                <w:rFonts w:ascii="Titillium Web" w:hAnsi="Titillium Web"/>
                <w:i/>
                <w:iCs/>
                <w:szCs w:val="24"/>
              </w:rPr>
              <w:t>A destra dello scheletro e dietro la testa erano sparsi molti frammenti di un grande vaso figurato a forma di cratere a campana a figure rosse, rappresentante scene di gigantomachia con guerrieri greci (?) e al disopra delle teste sono scritti i nomi.</w:t>
            </w:r>
          </w:p>
          <w:p w14:paraId="2B70076F" w14:textId="77777777" w:rsidR="00874AA7" w:rsidRPr="00E62DB3" w:rsidRDefault="002B5CEB">
            <w:pPr>
              <w:rPr>
                <w:rFonts w:ascii="Titillium Web" w:hAnsi="Titillium Web"/>
                <w:i/>
                <w:iCs/>
                <w:szCs w:val="24"/>
              </w:rPr>
            </w:pPr>
            <w:r w:rsidRPr="00E62DB3">
              <w:rPr>
                <w:rFonts w:ascii="Titillium Web" w:hAnsi="Titillium Web"/>
                <w:i/>
                <w:iCs/>
                <w:szCs w:val="24"/>
              </w:rPr>
              <w:t>Il disegno è bello e grandioso.</w:t>
            </w:r>
          </w:p>
          <w:p w14:paraId="03D9E6F3" w14:textId="77777777" w:rsidR="00874AA7" w:rsidRPr="00E62DB3" w:rsidRDefault="002B5CEB">
            <w:pPr>
              <w:rPr>
                <w:rFonts w:ascii="Titillium Web" w:hAnsi="Titillium Web"/>
                <w:i/>
                <w:iCs/>
                <w:szCs w:val="24"/>
              </w:rPr>
            </w:pPr>
            <w:r w:rsidRPr="00E62DB3">
              <w:rPr>
                <w:rFonts w:ascii="Titillium Web" w:hAnsi="Titillium Web"/>
                <w:i/>
                <w:iCs/>
                <w:szCs w:val="24"/>
              </w:rPr>
              <w:lastRenderedPageBreak/>
              <w:t>Appartiene questo vaso alla tomba?</w:t>
            </w:r>
          </w:p>
          <w:p w14:paraId="597D9F8A" w14:textId="77777777" w:rsidR="00874AA7" w:rsidRPr="00E62DB3" w:rsidRDefault="002B5CEB">
            <w:pPr>
              <w:rPr>
                <w:rFonts w:ascii="Titillium Web" w:hAnsi="Titillium Web"/>
                <w:i/>
                <w:iCs/>
                <w:szCs w:val="24"/>
              </w:rPr>
            </w:pPr>
            <w:r w:rsidRPr="00E62DB3">
              <w:rPr>
                <w:rFonts w:ascii="Titillium Web" w:hAnsi="Titillium Web"/>
                <w:i/>
                <w:iCs/>
                <w:szCs w:val="24"/>
              </w:rPr>
              <w:t>Io non lo ritengo non solo per il fatto che non furono rinvenuti tutti i cocci del vaso (se ne rinvenne circa un terzo) ma ancora perché la parte inferiore dello scheletro era scomposta e qualcuno dei cocci fu rinvenuto quasi alla superficie del terreno.</w:t>
            </w:r>
          </w:p>
          <w:p w14:paraId="435E51DE" w14:textId="77777777" w:rsidR="00874AA7" w:rsidRPr="00E62DB3" w:rsidRDefault="002B5CEB">
            <w:pPr>
              <w:rPr>
                <w:rFonts w:ascii="Titillium Web" w:hAnsi="Titillium Web"/>
                <w:i/>
                <w:iCs/>
                <w:szCs w:val="24"/>
              </w:rPr>
            </w:pPr>
            <w:r w:rsidRPr="00E62DB3">
              <w:rPr>
                <w:rFonts w:ascii="Titillium Web" w:hAnsi="Titillium Web"/>
                <w:i/>
                <w:iCs/>
                <w:szCs w:val="24"/>
              </w:rPr>
              <w:t>Nel proseguire lo scavo sarà somma cura di ricercare se altri frammenti fossero nei pressi-</w:t>
            </w:r>
          </w:p>
          <w:p w14:paraId="1477783C" w14:textId="77777777" w:rsidR="00874AA7" w:rsidRPr="00E62DB3" w:rsidRDefault="002B5CEB">
            <w:pPr>
              <w:rPr>
                <w:rFonts w:ascii="Titillium Web" w:hAnsi="Titillium Web"/>
                <w:i/>
                <w:iCs/>
                <w:szCs w:val="24"/>
              </w:rPr>
            </w:pPr>
            <w:r w:rsidRPr="00E62DB3">
              <w:rPr>
                <w:rFonts w:ascii="Titillium Web" w:hAnsi="Titillium Web"/>
                <w:i/>
                <w:iCs/>
                <w:szCs w:val="24"/>
              </w:rPr>
              <w:t xml:space="preserve">Anche questo caso viene a confermare quanto avevo già supposto, ed il Signor Ispettore dott. Negrioli aveva constatato in altro caso analogo (vedi tomba 224) ed in altre ancora di cui non fu fatto cenno speciale) cioè che le tombe della prima metà del </w:t>
            </w:r>
            <w:proofErr w:type="gramStart"/>
            <w:r w:rsidRPr="00E62DB3">
              <w:rPr>
                <w:rFonts w:ascii="Titillium Web" w:hAnsi="Titillium Web"/>
                <w:i/>
                <w:iCs/>
                <w:szCs w:val="24"/>
              </w:rPr>
              <w:t>V°</w:t>
            </w:r>
            <w:proofErr w:type="gramEnd"/>
            <w:r w:rsidRPr="00E62DB3">
              <w:rPr>
                <w:rFonts w:ascii="Titillium Web" w:hAnsi="Titillium Web"/>
                <w:i/>
                <w:iCs/>
                <w:szCs w:val="24"/>
              </w:rPr>
              <w:t xml:space="preserve"> sec. furono devastate dagli stessi che seppellivano i loro morti di un tempo più tardi.</w:t>
            </w:r>
          </w:p>
          <w:p w14:paraId="464C4D52" w14:textId="77777777" w:rsidR="00874AA7" w:rsidRPr="00E62DB3" w:rsidRDefault="002B5CEB">
            <w:pPr>
              <w:rPr>
                <w:rFonts w:ascii="Titillium Web" w:hAnsi="Titillium Web"/>
                <w:i/>
                <w:iCs/>
                <w:szCs w:val="24"/>
              </w:rPr>
            </w:pPr>
            <w:r w:rsidRPr="00E62DB3">
              <w:rPr>
                <w:rFonts w:ascii="Titillium Web" w:hAnsi="Titillium Web"/>
                <w:i/>
                <w:iCs/>
                <w:szCs w:val="24"/>
              </w:rPr>
              <w:t>Dello scheletro fu raccolto il cranio –</w:t>
            </w:r>
          </w:p>
        </w:tc>
      </w:tr>
      <w:tr w:rsidR="0086297F" w:rsidRPr="00E62DB3" w14:paraId="1429C2F3" w14:textId="77777777" w:rsidTr="002665C6">
        <w:trPr>
          <w:jc w:val="center"/>
        </w:trPr>
        <w:tc>
          <w:tcPr>
            <w:tcW w:w="1650" w:type="pct"/>
            <w:vAlign w:val="center"/>
          </w:tcPr>
          <w:p w14:paraId="7F398080"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lastRenderedPageBreak/>
              <w:t>Posizione del corredo</w:t>
            </w:r>
          </w:p>
        </w:tc>
        <w:tc>
          <w:tcPr>
            <w:tcW w:w="3350" w:type="pct"/>
            <w:vAlign w:val="center"/>
          </w:tcPr>
          <w:p w14:paraId="5C03ADA7" w14:textId="7BF3AD8D" w:rsidR="0086297F" w:rsidRPr="00E62DB3" w:rsidRDefault="0086297F" w:rsidP="002665C6">
            <w:pPr>
              <w:jc w:val="center"/>
              <w:rPr>
                <w:rFonts w:ascii="Titillium Web" w:hAnsi="Titillium Web"/>
                <w:szCs w:val="24"/>
              </w:rPr>
            </w:pPr>
            <w:r w:rsidRPr="00E62DB3">
              <w:rPr>
                <w:rFonts w:ascii="Titillium Web" w:hAnsi="Titillium Web"/>
                <w:szCs w:val="24"/>
              </w:rPr>
              <w:t>Fianco destro</w:t>
            </w:r>
          </w:p>
        </w:tc>
      </w:tr>
      <w:tr w:rsidR="0086297F" w:rsidRPr="00E62DB3" w14:paraId="71A0E4AF" w14:textId="77777777" w:rsidTr="002665C6">
        <w:trPr>
          <w:jc w:val="center"/>
        </w:trPr>
        <w:tc>
          <w:tcPr>
            <w:tcW w:w="1650" w:type="pct"/>
            <w:vAlign w:val="center"/>
          </w:tcPr>
          <w:p w14:paraId="2128B19B"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Genere (legato all’analisi del corredo)</w:t>
            </w:r>
          </w:p>
        </w:tc>
        <w:tc>
          <w:tcPr>
            <w:tcW w:w="3350" w:type="pct"/>
            <w:vAlign w:val="center"/>
          </w:tcPr>
          <w:p w14:paraId="31324C2B" w14:textId="4E55E405" w:rsidR="0086297F" w:rsidRPr="00E62DB3" w:rsidRDefault="0086297F" w:rsidP="002665C6">
            <w:pPr>
              <w:jc w:val="center"/>
              <w:rPr>
                <w:rFonts w:ascii="Titillium Web" w:hAnsi="Titillium Web"/>
                <w:szCs w:val="24"/>
              </w:rPr>
            </w:pPr>
            <w:r w:rsidRPr="00E62DB3">
              <w:rPr>
                <w:rFonts w:ascii="Titillium Web" w:hAnsi="Titillium Web"/>
                <w:szCs w:val="24"/>
              </w:rPr>
              <w:t>Femminile</w:t>
            </w:r>
          </w:p>
        </w:tc>
      </w:tr>
      <w:tr w:rsidR="0086297F" w:rsidRPr="00E62DB3" w14:paraId="17633947" w14:textId="77777777" w:rsidTr="002665C6">
        <w:trPr>
          <w:jc w:val="center"/>
        </w:trPr>
        <w:tc>
          <w:tcPr>
            <w:tcW w:w="1650" w:type="pct"/>
            <w:vAlign w:val="center"/>
          </w:tcPr>
          <w:p w14:paraId="44721053"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Sesso (legato alle analisi antropologiche)</w:t>
            </w:r>
          </w:p>
        </w:tc>
        <w:tc>
          <w:tcPr>
            <w:tcW w:w="3350" w:type="pct"/>
            <w:vAlign w:val="center"/>
          </w:tcPr>
          <w:p w14:paraId="66E918A4" w14:textId="50197FF0" w:rsidR="0086297F" w:rsidRPr="00E62DB3" w:rsidRDefault="0086297F" w:rsidP="002665C6">
            <w:pPr>
              <w:jc w:val="center"/>
              <w:rPr>
                <w:rFonts w:ascii="Titillium Web" w:hAnsi="Titillium Web"/>
                <w:szCs w:val="24"/>
              </w:rPr>
            </w:pPr>
            <w:r w:rsidRPr="00E62DB3">
              <w:rPr>
                <w:rFonts w:ascii="Titillium Web" w:hAnsi="Titillium Web"/>
                <w:szCs w:val="24"/>
              </w:rPr>
              <w:t>Non determinabile</w:t>
            </w:r>
          </w:p>
        </w:tc>
      </w:tr>
      <w:tr w:rsidR="0086297F" w:rsidRPr="00E62DB3" w14:paraId="0588946D" w14:textId="77777777" w:rsidTr="002665C6">
        <w:trPr>
          <w:jc w:val="center"/>
        </w:trPr>
        <w:tc>
          <w:tcPr>
            <w:tcW w:w="1650" w:type="pct"/>
            <w:vAlign w:val="center"/>
          </w:tcPr>
          <w:p w14:paraId="54990945"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Classi di età</w:t>
            </w:r>
          </w:p>
        </w:tc>
        <w:tc>
          <w:tcPr>
            <w:tcW w:w="3350" w:type="pct"/>
            <w:vAlign w:val="center"/>
          </w:tcPr>
          <w:p w14:paraId="0E0589EA" w14:textId="7D4DF825" w:rsidR="0086297F" w:rsidRPr="00E62DB3" w:rsidRDefault="0086297F" w:rsidP="002665C6">
            <w:pPr>
              <w:jc w:val="center"/>
              <w:rPr>
                <w:rFonts w:ascii="Titillium Web" w:hAnsi="Titillium Web"/>
                <w:szCs w:val="24"/>
              </w:rPr>
            </w:pPr>
            <w:r w:rsidRPr="00E62DB3">
              <w:rPr>
                <w:rFonts w:ascii="Titillium Web" w:hAnsi="Titillium Web"/>
                <w:szCs w:val="24"/>
              </w:rPr>
              <w:t>Non determinabile</w:t>
            </w:r>
          </w:p>
        </w:tc>
      </w:tr>
      <w:tr w:rsidR="0086297F" w:rsidRPr="00E62DB3" w14:paraId="1FFA88A1" w14:textId="77777777" w:rsidTr="002665C6">
        <w:trPr>
          <w:jc w:val="center"/>
        </w:trPr>
        <w:tc>
          <w:tcPr>
            <w:tcW w:w="1650" w:type="pct"/>
            <w:vAlign w:val="center"/>
          </w:tcPr>
          <w:p w14:paraId="63B2D8D6" w14:textId="77777777" w:rsidR="0086297F" w:rsidRPr="00E62DB3" w:rsidRDefault="0086297F" w:rsidP="002665C6">
            <w:pPr>
              <w:jc w:val="center"/>
              <w:rPr>
                <w:rFonts w:ascii="Titillium Web" w:hAnsi="Titillium Web"/>
                <w:smallCaps/>
                <w:szCs w:val="24"/>
              </w:rPr>
            </w:pPr>
            <w:r w:rsidRPr="00E62DB3">
              <w:rPr>
                <w:rFonts w:ascii="Titillium Web" w:hAnsi="Titillium Web"/>
                <w:smallCaps/>
                <w:szCs w:val="24"/>
              </w:rPr>
              <w:t>Bibliografia essenziale</w:t>
            </w:r>
          </w:p>
        </w:tc>
        <w:tc>
          <w:tcPr>
            <w:tcW w:w="3350" w:type="pct"/>
            <w:vAlign w:val="center"/>
          </w:tcPr>
          <w:p w14:paraId="783F0D1D" w14:textId="77777777" w:rsidR="00874AA7" w:rsidRPr="00E62DB3" w:rsidRDefault="002B5CEB" w:rsidP="00E62DB3">
            <w:pPr>
              <w:jc w:val="center"/>
              <w:rPr>
                <w:rFonts w:ascii="Titillium Web" w:hAnsi="Titillium Web"/>
                <w:szCs w:val="24"/>
              </w:rPr>
            </w:pPr>
            <w:r w:rsidRPr="00E62DB3">
              <w:rPr>
                <w:rFonts w:ascii="Titillium Web" w:eastAsia="Titillium" w:hAnsi="Titillium Web" w:cs="Titillium"/>
                <w:smallCaps/>
                <w:szCs w:val="24"/>
              </w:rPr>
              <w:t>Negrioli</w:t>
            </w:r>
            <w:r w:rsidRPr="00E62DB3">
              <w:rPr>
                <w:rFonts w:ascii="Titillium Web" w:eastAsia="Titillium" w:hAnsi="Titillium Web" w:cs="Titillium"/>
                <w:szCs w:val="24"/>
              </w:rPr>
              <w:t xml:space="preserve"> 1927, p. 193; </w:t>
            </w:r>
            <w:r w:rsidRPr="00E62DB3">
              <w:rPr>
                <w:rFonts w:ascii="Titillium Web" w:eastAsia="Titillium" w:hAnsi="Titillium Web" w:cs="Titillium"/>
                <w:smallCaps/>
                <w:szCs w:val="24"/>
              </w:rPr>
              <w:t>Aurigemma</w:t>
            </w:r>
            <w:r w:rsidRPr="00E62DB3">
              <w:rPr>
                <w:rFonts w:ascii="Titillium Web" w:eastAsia="Titillium" w:hAnsi="Titillium Web" w:cs="Titillium"/>
                <w:szCs w:val="24"/>
              </w:rPr>
              <w:t xml:space="preserve"> 1960, pp. 98-101; </w:t>
            </w:r>
            <w:r w:rsidRPr="00E62DB3">
              <w:rPr>
                <w:rFonts w:ascii="Titillium Web" w:eastAsia="Titillium" w:hAnsi="Titillium Web" w:cs="Titillium"/>
                <w:smallCaps/>
                <w:szCs w:val="24"/>
              </w:rPr>
              <w:t>Gaucci</w:t>
            </w:r>
            <w:r w:rsidRPr="00E62DB3">
              <w:rPr>
                <w:rFonts w:ascii="Titillium Web" w:eastAsia="Titillium" w:hAnsi="Titillium Web" w:cs="Titillium"/>
                <w:szCs w:val="24"/>
              </w:rPr>
              <w:t xml:space="preserve"> 2014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D6EFB"/>
    <w:rsid w:val="007145BC"/>
    <w:rsid w:val="0086297F"/>
    <w:rsid w:val="00874AA7"/>
    <w:rsid w:val="009E4922"/>
    <w:rsid w:val="00AB321D"/>
    <w:rsid w:val="00B165C4"/>
    <w:rsid w:val="00C21EE0"/>
    <w:rsid w:val="00D8323F"/>
    <w:rsid w:val="00D900AB"/>
    <w:rsid w:val="00D936E8"/>
    <w:rsid w:val="00E24633"/>
    <w:rsid w:val="00E62D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2026-05-15T13:46:00Z</dcterms:modified>
</cp:coreProperties>
</file>