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CA9C8" w14:textId="77777777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308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BD77D0" w14:paraId="740AD004" w14:textId="77777777" w:rsidTr="002665C6">
        <w:trPr>
          <w:jc w:val="center"/>
        </w:trPr>
        <w:tc>
          <w:tcPr>
            <w:tcW w:w="1650" w:type="pct"/>
            <w:vAlign w:val="center"/>
          </w:tcPr>
          <w:p w14:paraId="136A28D0" w14:textId="77777777" w:rsidR="0086297F" w:rsidRPr="00BD77D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D77D0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6AAC6E27" w14:textId="77777777" w:rsidR="0086297F" w:rsidRPr="00BD77D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D77D0">
              <w:rPr>
                <w:rFonts w:ascii="Titillium Web" w:hAnsi="Titillium Web"/>
                <w:szCs w:val="24"/>
              </w:rPr>
              <w:t>1924</w:t>
            </w:r>
          </w:p>
        </w:tc>
      </w:tr>
      <w:tr w:rsidR="0086297F" w:rsidRPr="00BD77D0" w14:paraId="60795FEA" w14:textId="77777777" w:rsidTr="002665C6">
        <w:trPr>
          <w:jc w:val="center"/>
        </w:trPr>
        <w:tc>
          <w:tcPr>
            <w:tcW w:w="1650" w:type="pct"/>
            <w:vAlign w:val="center"/>
          </w:tcPr>
          <w:p w14:paraId="5DDB2156" w14:textId="77777777" w:rsidR="0086297F" w:rsidRPr="00BD77D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D77D0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9AD20F" w14:textId="77777777" w:rsidR="0086297F" w:rsidRPr="00BD77D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D77D0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BD77D0" w14:paraId="47B1E2EC" w14:textId="77777777" w:rsidTr="002665C6">
        <w:trPr>
          <w:jc w:val="center"/>
        </w:trPr>
        <w:tc>
          <w:tcPr>
            <w:tcW w:w="1650" w:type="pct"/>
            <w:vAlign w:val="center"/>
          </w:tcPr>
          <w:p w14:paraId="2B618560" w14:textId="77777777" w:rsidR="0086297F" w:rsidRPr="00BD77D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D77D0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574686E5" w14:textId="77777777" w:rsidR="0086297F" w:rsidRPr="00BD77D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D77D0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BD77D0" w14:paraId="23261386" w14:textId="77777777" w:rsidTr="002665C6">
        <w:trPr>
          <w:jc w:val="center"/>
        </w:trPr>
        <w:tc>
          <w:tcPr>
            <w:tcW w:w="1650" w:type="pct"/>
            <w:vAlign w:val="center"/>
          </w:tcPr>
          <w:p w14:paraId="0E5B4883" w14:textId="77777777" w:rsidR="0086297F" w:rsidRPr="00BD77D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D77D0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5EF975B9" w14:textId="77777777" w:rsidR="0086297F" w:rsidRPr="00BD77D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D77D0">
              <w:rPr>
                <w:rFonts w:ascii="Titillium Web" w:hAnsi="Titillium Web"/>
                <w:szCs w:val="24"/>
              </w:rPr>
              <w:t>fossa con cassone ligneo</w:t>
            </w:r>
          </w:p>
        </w:tc>
      </w:tr>
      <w:tr w:rsidR="0086297F" w:rsidRPr="00BD77D0" w14:paraId="4462CE6A" w14:textId="77777777" w:rsidTr="002665C6">
        <w:trPr>
          <w:jc w:val="center"/>
        </w:trPr>
        <w:tc>
          <w:tcPr>
            <w:tcW w:w="1650" w:type="pct"/>
            <w:vAlign w:val="center"/>
          </w:tcPr>
          <w:p w14:paraId="06C7C2F1" w14:textId="77777777" w:rsidR="0086297F" w:rsidRPr="00BD77D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D77D0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388E4110" w14:textId="77777777" w:rsidR="0086297F" w:rsidRPr="00BD77D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D77D0">
              <w:rPr>
                <w:rFonts w:ascii="Titillium Web" w:hAnsi="Titillium Web"/>
                <w:szCs w:val="24"/>
              </w:rPr>
              <w:t>1,3 m</w:t>
            </w:r>
          </w:p>
        </w:tc>
      </w:tr>
      <w:tr w:rsidR="0086297F" w:rsidRPr="00BD77D0" w14:paraId="277F7C57" w14:textId="77777777" w:rsidTr="002665C6">
        <w:trPr>
          <w:jc w:val="center"/>
        </w:trPr>
        <w:tc>
          <w:tcPr>
            <w:tcW w:w="1650" w:type="pct"/>
            <w:vAlign w:val="center"/>
          </w:tcPr>
          <w:p w14:paraId="1D959CEA" w14:textId="77777777" w:rsidR="0086297F" w:rsidRPr="00BD77D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D77D0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0FB17FC6" w14:textId="77777777" w:rsidR="0086297F" w:rsidRPr="00BD77D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D77D0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BD77D0" w14:paraId="0A1EA736" w14:textId="77777777" w:rsidTr="002665C6">
        <w:trPr>
          <w:jc w:val="center"/>
        </w:trPr>
        <w:tc>
          <w:tcPr>
            <w:tcW w:w="1650" w:type="pct"/>
            <w:vAlign w:val="center"/>
          </w:tcPr>
          <w:p w14:paraId="60D1CBED" w14:textId="77777777" w:rsidR="0086297F" w:rsidRPr="00BD77D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D77D0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B893762" w14:textId="77777777" w:rsidR="0086297F" w:rsidRPr="00BD77D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D77D0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BD77D0" w14:paraId="3DF8E1C8" w14:textId="77777777" w:rsidTr="002665C6">
        <w:trPr>
          <w:jc w:val="center"/>
        </w:trPr>
        <w:tc>
          <w:tcPr>
            <w:tcW w:w="1650" w:type="pct"/>
            <w:vAlign w:val="center"/>
          </w:tcPr>
          <w:p w14:paraId="550178CA" w14:textId="77777777" w:rsidR="0086297F" w:rsidRPr="00BD77D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D77D0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3483C3BC" w14:textId="77777777" w:rsidR="0086297F" w:rsidRPr="00BD77D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D77D0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BD77D0" w14:paraId="6FFD1B9C" w14:textId="77777777" w:rsidTr="002665C6">
        <w:trPr>
          <w:jc w:val="center"/>
        </w:trPr>
        <w:tc>
          <w:tcPr>
            <w:tcW w:w="1650" w:type="pct"/>
            <w:vAlign w:val="center"/>
          </w:tcPr>
          <w:p w14:paraId="0FFA915F" w14:textId="77777777" w:rsidR="0086297F" w:rsidRPr="00BD77D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D77D0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1AA7A994" w14:textId="77777777" w:rsidR="007279BD" w:rsidRPr="00BD77D0" w:rsidRDefault="002E33A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D77D0">
              <w:rPr>
                <w:rFonts w:ascii="Titillium Web" w:hAnsi="Titillium Web"/>
                <w:i/>
                <w:iCs/>
                <w:szCs w:val="24"/>
              </w:rPr>
              <w:t>Tomba 308 a umazione.</w:t>
            </w:r>
          </w:p>
          <w:p w14:paraId="2D2151DB" w14:textId="77777777" w:rsidR="007279BD" w:rsidRPr="00BD77D0" w:rsidRDefault="002E33A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D77D0">
              <w:rPr>
                <w:rFonts w:ascii="Titillium Web" w:hAnsi="Titillium Web"/>
                <w:i/>
                <w:iCs/>
                <w:szCs w:val="24"/>
              </w:rPr>
              <w:t xml:space="preserve">A m. 10,25 dallo scolo B, a m. 18 da Nord e a m. 1,30 di profondità giaceva uno scheletro su di un tavolato di legno, orientato da NO a </w:t>
            </w:r>
            <w:proofErr w:type="gramStart"/>
            <w:r w:rsidRPr="00BD77D0">
              <w:rPr>
                <w:rFonts w:ascii="Titillium Web" w:hAnsi="Titillium Web"/>
                <w:i/>
                <w:iCs/>
                <w:szCs w:val="24"/>
              </w:rPr>
              <w:t>SE</w:t>
            </w:r>
            <w:proofErr w:type="gramEnd"/>
            <w:r w:rsidRPr="00BD77D0">
              <w:rPr>
                <w:rFonts w:ascii="Titillium Web" w:hAnsi="Titillium Web"/>
                <w:i/>
                <w:iCs/>
                <w:szCs w:val="24"/>
              </w:rPr>
              <w:t>.</w:t>
            </w:r>
          </w:p>
          <w:p w14:paraId="724E1626" w14:textId="77777777" w:rsidR="007279BD" w:rsidRPr="00BD77D0" w:rsidRDefault="002E33A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D77D0">
              <w:rPr>
                <w:rFonts w:ascii="Titillium Web" w:hAnsi="Titillium Web"/>
                <w:i/>
                <w:iCs/>
                <w:szCs w:val="24"/>
              </w:rPr>
              <w:t xml:space="preserve">Presso la parte </w:t>
            </w:r>
            <w:proofErr w:type="spellStart"/>
            <w:r w:rsidRPr="00BD77D0">
              <w:rPr>
                <w:rFonts w:ascii="Titillium Web" w:hAnsi="Titillium Web"/>
                <w:i/>
                <w:iCs/>
                <w:szCs w:val="24"/>
              </w:rPr>
              <w:t>des</w:t>
            </w:r>
            <w:proofErr w:type="spellEnd"/>
            <w:r w:rsidRPr="00BD77D0">
              <w:rPr>
                <w:rFonts w:ascii="Titillium Web" w:hAnsi="Titillium Web"/>
                <w:i/>
                <w:iCs/>
                <w:szCs w:val="24"/>
              </w:rPr>
              <w:t>. della testa aveva</w:t>
            </w:r>
          </w:p>
          <w:p w14:paraId="38B4969B" w14:textId="77777777" w:rsidR="007279BD" w:rsidRPr="00BD77D0" w:rsidRDefault="002E33A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D77D0">
              <w:rPr>
                <w:rFonts w:ascii="Titillium Web" w:hAnsi="Titillium Web"/>
                <w:i/>
                <w:iCs/>
                <w:szCs w:val="24"/>
              </w:rPr>
              <w:t xml:space="preserve">1 grande kelebe a colonnette, in frammenti, a figure rosse su fondo nero, di disegno grandioso e accuratissimo. Nel lato A.: (da </w:t>
            </w:r>
            <w:proofErr w:type="spellStart"/>
            <w:r w:rsidRPr="00BD77D0">
              <w:rPr>
                <w:rFonts w:ascii="Titillium Web" w:hAnsi="Titillium Web"/>
                <w:i/>
                <w:iCs/>
                <w:szCs w:val="24"/>
              </w:rPr>
              <w:t>sin</w:t>
            </w:r>
            <w:proofErr w:type="spellEnd"/>
            <w:r w:rsidRPr="00BD77D0">
              <w:rPr>
                <w:rFonts w:ascii="Titillium Web" w:hAnsi="Titillium Web"/>
                <w:i/>
                <w:iCs/>
                <w:szCs w:val="24"/>
              </w:rPr>
              <w:t xml:space="preserve">. a </w:t>
            </w:r>
            <w:proofErr w:type="spellStart"/>
            <w:r w:rsidRPr="00BD77D0">
              <w:rPr>
                <w:rFonts w:ascii="Titillium Web" w:hAnsi="Titillium Web"/>
                <w:i/>
                <w:iCs/>
                <w:szCs w:val="24"/>
              </w:rPr>
              <w:t>des</w:t>
            </w:r>
            <w:proofErr w:type="spellEnd"/>
            <w:r w:rsidRPr="00BD77D0">
              <w:rPr>
                <w:rFonts w:ascii="Titillium Web" w:hAnsi="Titillium Web"/>
                <w:i/>
                <w:iCs/>
                <w:szCs w:val="24"/>
              </w:rPr>
              <w:t xml:space="preserve">.) fig. di Artemide su di una quadriga, tirata da quattro cavalli. La figura di Artemide ha sul capo un diadema e regge le redini dei cavalli; dietro ai cavalli, grande figura di Apollo (?) con nella </w:t>
            </w:r>
            <w:proofErr w:type="spellStart"/>
            <w:r w:rsidRPr="00BD77D0">
              <w:rPr>
                <w:rFonts w:ascii="Titillium Web" w:hAnsi="Titillium Web"/>
                <w:i/>
                <w:iCs/>
                <w:szCs w:val="24"/>
              </w:rPr>
              <w:t>des</w:t>
            </w:r>
            <w:proofErr w:type="spellEnd"/>
            <w:r w:rsidRPr="00BD77D0">
              <w:rPr>
                <w:rFonts w:ascii="Titillium Web" w:hAnsi="Titillium Web"/>
                <w:i/>
                <w:iCs/>
                <w:szCs w:val="24"/>
              </w:rPr>
              <w:t xml:space="preserve">. una coppa che offre alla figura femminile sulla biga, e ha nella sinistra la lira. A </w:t>
            </w:r>
            <w:proofErr w:type="spellStart"/>
            <w:r w:rsidRPr="00BD77D0">
              <w:rPr>
                <w:rFonts w:ascii="Titillium Web" w:hAnsi="Titillium Web"/>
                <w:i/>
                <w:iCs/>
                <w:szCs w:val="24"/>
              </w:rPr>
              <w:t>sin</w:t>
            </w:r>
            <w:proofErr w:type="spellEnd"/>
            <w:r w:rsidRPr="00BD77D0">
              <w:rPr>
                <w:rFonts w:ascii="Titillium Web" w:hAnsi="Titillium Web"/>
                <w:i/>
                <w:iCs/>
                <w:szCs w:val="24"/>
              </w:rPr>
              <w:t>. Mercurio con corto chitone e gambe nude, che ha in mano il caduceo ed è davanti ai cavalli.</w:t>
            </w:r>
          </w:p>
          <w:p w14:paraId="03029A3E" w14:textId="77777777" w:rsidR="007279BD" w:rsidRPr="00BD77D0" w:rsidRDefault="002E33A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D77D0">
              <w:rPr>
                <w:rFonts w:ascii="Titillium Web" w:hAnsi="Titillium Web"/>
                <w:i/>
                <w:iCs/>
                <w:szCs w:val="24"/>
              </w:rPr>
              <w:t xml:space="preserve">Nel rovescio satiri e menadi, di disegno strapazzato. Il disegno specialmente nel dritto del vaso è conservatissimo, sebbene coperto da un </w:t>
            </w:r>
            <w:proofErr w:type="spellStart"/>
            <w:r w:rsidRPr="00BD77D0">
              <w:rPr>
                <w:rFonts w:ascii="Titillium Web" w:hAnsi="Titillium Web"/>
                <w:i/>
                <w:iCs/>
                <w:szCs w:val="24"/>
              </w:rPr>
              <w:t>pò</w:t>
            </w:r>
            <w:proofErr w:type="spellEnd"/>
            <w:r w:rsidRPr="00BD77D0">
              <w:rPr>
                <w:rFonts w:ascii="Titillium Web" w:hAnsi="Titillium Web"/>
                <w:i/>
                <w:iCs/>
                <w:szCs w:val="24"/>
              </w:rPr>
              <w:t xml:space="preserve"> di concrezione calcarea, poiché anche questa tomba sembra contenere nel piano del tavolo di legno ove poggia lo scheletro e gli oggetti, della calce.</w:t>
            </w:r>
          </w:p>
          <w:p w14:paraId="15E3FF83" w14:textId="77777777" w:rsidR="007279BD" w:rsidRPr="00BD77D0" w:rsidRDefault="002E33A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D77D0">
              <w:rPr>
                <w:rFonts w:ascii="Titillium Web" w:hAnsi="Titillium Web"/>
                <w:i/>
                <w:iCs/>
                <w:szCs w:val="24"/>
              </w:rPr>
              <w:t>raccolta in 72 pezzi -</w:t>
            </w:r>
          </w:p>
          <w:p w14:paraId="66CE06E7" w14:textId="77777777" w:rsidR="007279BD" w:rsidRPr="00BD77D0" w:rsidRDefault="002E33A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D77D0">
              <w:rPr>
                <w:rFonts w:ascii="Titillium Web" w:hAnsi="Titillium Web"/>
                <w:i/>
                <w:iCs/>
                <w:szCs w:val="24"/>
              </w:rPr>
              <w:t>Presso la testa dello scheletro a sinistra:</w:t>
            </w:r>
          </w:p>
          <w:p w14:paraId="08EBB33F" w14:textId="77777777" w:rsidR="007279BD" w:rsidRPr="00BD77D0" w:rsidRDefault="002E33A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D77D0">
              <w:rPr>
                <w:rFonts w:ascii="Titillium Web" w:hAnsi="Titillium Web"/>
                <w:i/>
                <w:iCs/>
                <w:szCs w:val="24"/>
              </w:rPr>
              <w:t>1 candelabro di ferro del quale si sono raccolti una quantità di pezzi informi sformati dall’ossido.</w:t>
            </w:r>
          </w:p>
          <w:p w14:paraId="55483DDE" w14:textId="77777777" w:rsidR="007279BD" w:rsidRPr="00BD77D0" w:rsidRDefault="002E33A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D77D0">
              <w:rPr>
                <w:rFonts w:ascii="Titillium Web" w:hAnsi="Titillium Web"/>
                <w:i/>
                <w:iCs/>
                <w:szCs w:val="24"/>
              </w:rPr>
              <w:t>A destra presso la mano:</w:t>
            </w:r>
          </w:p>
          <w:p w14:paraId="4F7A6083" w14:textId="64CD4075" w:rsidR="007279BD" w:rsidRPr="00BD77D0" w:rsidRDefault="002E33A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D77D0">
              <w:rPr>
                <w:rFonts w:ascii="Titillium Web" w:hAnsi="Titillium Web"/>
                <w:i/>
                <w:iCs/>
                <w:szCs w:val="24"/>
              </w:rPr>
              <w:lastRenderedPageBreak/>
              <w:t xml:space="preserve">1 </w:t>
            </w:r>
            <w:proofErr w:type="spellStart"/>
            <w:r w:rsidRPr="00BD77D0">
              <w:rPr>
                <w:rFonts w:ascii="Titillium Web" w:hAnsi="Titillium Web"/>
                <w:i/>
                <w:iCs/>
                <w:szCs w:val="24"/>
              </w:rPr>
              <w:t>oinocoe</w:t>
            </w:r>
            <w:proofErr w:type="spellEnd"/>
            <w:r w:rsidRPr="00BD77D0">
              <w:rPr>
                <w:rFonts w:ascii="Titillium Web" w:hAnsi="Titillium Web"/>
                <w:i/>
                <w:iCs/>
                <w:szCs w:val="24"/>
              </w:rPr>
              <w:t xml:space="preserve"> in </w:t>
            </w:r>
            <w:proofErr w:type="spellStart"/>
            <w:r w:rsidRPr="00BD77D0">
              <w:rPr>
                <w:rFonts w:ascii="Titillium Web" w:hAnsi="Titillium Web"/>
                <w:i/>
                <w:iCs/>
                <w:szCs w:val="24"/>
              </w:rPr>
              <w:t>fram.ti</w:t>
            </w:r>
            <w:proofErr w:type="spellEnd"/>
            <w:r w:rsidRPr="00BD77D0">
              <w:rPr>
                <w:rFonts w:ascii="Titillium Web" w:hAnsi="Titillium Web"/>
                <w:i/>
                <w:iCs/>
                <w:szCs w:val="24"/>
              </w:rPr>
              <w:t xml:space="preserve"> di forma slanciato, a bocca trilobata e a fig.</w:t>
            </w:r>
            <w:r w:rsidR="00BD77D0">
              <w:rPr>
                <w:rFonts w:ascii="Titillium Web" w:hAnsi="Titillium Web"/>
                <w:i/>
                <w:iCs/>
                <w:szCs w:val="24"/>
              </w:rPr>
              <w:t xml:space="preserve"> </w:t>
            </w:r>
            <w:r w:rsidRPr="00BD77D0">
              <w:rPr>
                <w:rFonts w:ascii="Titillium Web" w:hAnsi="Titillium Web"/>
                <w:i/>
                <w:iCs/>
                <w:szCs w:val="24"/>
              </w:rPr>
              <w:t xml:space="preserve">rosse </w:t>
            </w:r>
            <w:proofErr w:type="gramStart"/>
            <w:r w:rsidRPr="00BD77D0">
              <w:rPr>
                <w:rFonts w:ascii="Titillium Web" w:hAnsi="Titillium Web"/>
                <w:i/>
                <w:iCs/>
                <w:szCs w:val="24"/>
              </w:rPr>
              <w:t>- :</w:t>
            </w:r>
            <w:proofErr w:type="gramEnd"/>
            <w:r w:rsidRPr="00BD77D0">
              <w:rPr>
                <w:rFonts w:ascii="Titillium Web" w:hAnsi="Titillium Web"/>
                <w:i/>
                <w:iCs/>
                <w:szCs w:val="24"/>
              </w:rPr>
              <w:t xml:space="preserve"> due fig. femm.li, una con una </w:t>
            </w:r>
            <w:proofErr w:type="spellStart"/>
            <w:r w:rsidRPr="00BD77D0">
              <w:rPr>
                <w:rFonts w:ascii="Titillium Web" w:hAnsi="Titillium Web"/>
                <w:i/>
                <w:iCs/>
                <w:szCs w:val="24"/>
              </w:rPr>
              <w:t>anforina</w:t>
            </w:r>
            <w:proofErr w:type="spellEnd"/>
            <w:r w:rsidRPr="00BD77D0">
              <w:rPr>
                <w:rFonts w:ascii="Titillium Web" w:hAnsi="Titillium Web"/>
                <w:i/>
                <w:iCs/>
                <w:szCs w:val="24"/>
              </w:rPr>
              <w:t xml:space="preserve"> in mano, l’altra con lancia.</w:t>
            </w:r>
          </w:p>
          <w:p w14:paraId="24D56CE4" w14:textId="77777777" w:rsidR="007279BD" w:rsidRPr="00BD77D0" w:rsidRDefault="002E33A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D77D0">
              <w:rPr>
                <w:rFonts w:ascii="Titillium Web" w:hAnsi="Titillium Web"/>
                <w:i/>
                <w:iCs/>
                <w:szCs w:val="24"/>
              </w:rPr>
              <w:t xml:space="preserve">1 kylix a fig. rosse di disegno mediocre: una figura alata e un giovane con lancia </w:t>
            </w:r>
            <w:proofErr w:type="gramStart"/>
            <w:r w:rsidRPr="00BD77D0">
              <w:rPr>
                <w:rFonts w:ascii="Titillium Web" w:hAnsi="Titillium Web"/>
                <w:i/>
                <w:iCs/>
                <w:szCs w:val="24"/>
              </w:rPr>
              <w:t>- ;</w:t>
            </w:r>
            <w:proofErr w:type="gramEnd"/>
            <w:r w:rsidRPr="00BD77D0">
              <w:rPr>
                <w:rFonts w:ascii="Titillium Web" w:hAnsi="Titillium Web"/>
                <w:i/>
                <w:iCs/>
                <w:szCs w:val="24"/>
              </w:rPr>
              <w:t xml:space="preserve"> è figurata anche nel rovescio.</w:t>
            </w:r>
          </w:p>
          <w:p w14:paraId="2ABF1E80" w14:textId="77777777" w:rsidR="007279BD" w:rsidRPr="00BD77D0" w:rsidRDefault="002E33A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D77D0">
              <w:rPr>
                <w:rFonts w:ascii="Titillium Web" w:hAnsi="Titillium Web"/>
                <w:i/>
                <w:iCs/>
                <w:szCs w:val="24"/>
              </w:rPr>
              <w:t>1 dado parallelepipedo di avorio -</w:t>
            </w:r>
          </w:p>
          <w:p w14:paraId="0101ECC5" w14:textId="77777777" w:rsidR="007279BD" w:rsidRPr="00BD77D0" w:rsidRDefault="002E33A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D77D0">
              <w:rPr>
                <w:rFonts w:ascii="Titillium Web" w:hAnsi="Titillium Web"/>
                <w:i/>
                <w:iCs/>
                <w:szCs w:val="24"/>
              </w:rPr>
              <w:t>1 borchia di chiodo di bronzo -</w:t>
            </w:r>
          </w:p>
          <w:p w14:paraId="41E4F3FE" w14:textId="77777777" w:rsidR="007279BD" w:rsidRPr="00BD77D0" w:rsidRDefault="002E33A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D77D0">
              <w:rPr>
                <w:rFonts w:ascii="Titillium Web" w:hAnsi="Titillium Web"/>
                <w:i/>
                <w:iCs/>
                <w:szCs w:val="24"/>
              </w:rPr>
              <w:t xml:space="preserve">1 anellino di bronzo (per </w:t>
            </w:r>
            <w:proofErr w:type="spellStart"/>
            <w:r w:rsidRPr="00BD77D0">
              <w:rPr>
                <w:rFonts w:ascii="Titillium Web" w:hAnsi="Titillium Web"/>
                <w:i/>
                <w:iCs/>
                <w:szCs w:val="24"/>
              </w:rPr>
              <w:t>tegghia</w:t>
            </w:r>
            <w:proofErr w:type="spellEnd"/>
            <w:r w:rsidRPr="00BD77D0">
              <w:rPr>
                <w:rFonts w:ascii="Titillium Web" w:hAnsi="Titillium Web"/>
                <w:i/>
                <w:iCs/>
                <w:szCs w:val="24"/>
              </w:rPr>
              <w:t>)</w:t>
            </w:r>
          </w:p>
          <w:p w14:paraId="07713A7C" w14:textId="77777777" w:rsidR="007279BD" w:rsidRPr="00BD77D0" w:rsidRDefault="002E33A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D77D0">
              <w:rPr>
                <w:rFonts w:ascii="Titillium Web" w:hAnsi="Titillium Web"/>
                <w:i/>
                <w:iCs/>
                <w:szCs w:val="24"/>
              </w:rPr>
              <w:t>1 anello di bronzo (decorazione di mobile?)</w:t>
            </w:r>
          </w:p>
          <w:p w14:paraId="1DDD5282" w14:textId="77777777" w:rsidR="007279BD" w:rsidRPr="00BD77D0" w:rsidRDefault="002E33A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D77D0">
              <w:rPr>
                <w:rFonts w:ascii="Titillium Web" w:hAnsi="Titillium Web"/>
                <w:i/>
                <w:iCs/>
                <w:szCs w:val="24"/>
              </w:rPr>
              <w:t>1 goccia di vetro bleu (per gioco ai dadi)</w:t>
            </w:r>
          </w:p>
          <w:p w14:paraId="4EB30630" w14:textId="77777777" w:rsidR="007279BD" w:rsidRPr="00BD77D0" w:rsidRDefault="002E33A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D77D0">
              <w:rPr>
                <w:rFonts w:ascii="Titillium Web" w:hAnsi="Titillium Web"/>
                <w:i/>
                <w:iCs/>
                <w:szCs w:val="24"/>
              </w:rPr>
              <w:t xml:space="preserve">Molti frammenti minuti di tazza a </w:t>
            </w:r>
            <w:proofErr w:type="spellStart"/>
            <w:r w:rsidRPr="00BD77D0">
              <w:rPr>
                <w:rFonts w:ascii="Titillium Web" w:hAnsi="Titillium Web"/>
                <w:i/>
                <w:iCs/>
                <w:szCs w:val="24"/>
              </w:rPr>
              <w:t>vern</w:t>
            </w:r>
            <w:proofErr w:type="spellEnd"/>
            <w:r w:rsidRPr="00BD77D0">
              <w:rPr>
                <w:rFonts w:ascii="Titillium Web" w:hAnsi="Titillium Web"/>
                <w:i/>
                <w:iCs/>
                <w:szCs w:val="24"/>
              </w:rPr>
              <w:t xml:space="preserve">. n. (una ha nel fondello un’anfora dipinta) e molti </w:t>
            </w:r>
            <w:proofErr w:type="spellStart"/>
            <w:r w:rsidRPr="00BD77D0">
              <w:rPr>
                <w:rFonts w:ascii="Titillium Web" w:hAnsi="Titillium Web"/>
                <w:i/>
                <w:iCs/>
                <w:szCs w:val="24"/>
              </w:rPr>
              <w:t>fram.ti</w:t>
            </w:r>
            <w:proofErr w:type="spellEnd"/>
            <w:r w:rsidRPr="00BD77D0">
              <w:rPr>
                <w:rFonts w:ascii="Titillium Web" w:hAnsi="Titillium Web"/>
                <w:i/>
                <w:iCs/>
                <w:szCs w:val="24"/>
              </w:rPr>
              <w:t xml:space="preserve"> di piattelli ad alto piede e a </w:t>
            </w:r>
            <w:proofErr w:type="spellStart"/>
            <w:r w:rsidRPr="00BD77D0">
              <w:rPr>
                <w:rFonts w:ascii="Titillium Web" w:hAnsi="Titillium Web"/>
                <w:i/>
                <w:iCs/>
                <w:szCs w:val="24"/>
              </w:rPr>
              <w:t>vern</w:t>
            </w:r>
            <w:proofErr w:type="spellEnd"/>
            <w:r w:rsidRPr="00BD77D0">
              <w:rPr>
                <w:rFonts w:ascii="Titillium Web" w:hAnsi="Titillium Web"/>
                <w:i/>
                <w:iCs/>
                <w:szCs w:val="24"/>
              </w:rPr>
              <w:t>. nera. ecc.</w:t>
            </w:r>
          </w:p>
          <w:p w14:paraId="45014BC9" w14:textId="77777777" w:rsidR="007279BD" w:rsidRPr="00BD77D0" w:rsidRDefault="002E33A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D77D0">
              <w:rPr>
                <w:rFonts w:ascii="Titillium Web" w:hAnsi="Titillium Web"/>
                <w:i/>
                <w:iCs/>
                <w:szCs w:val="24"/>
              </w:rPr>
              <w:t>Tutto questo materiale minuto fu pescato schiacciato sotto l’acqua fra il fango e la sabbia -</w:t>
            </w:r>
          </w:p>
          <w:p w14:paraId="5DC52A85" w14:textId="77777777" w:rsidR="007279BD" w:rsidRPr="00BD77D0" w:rsidRDefault="002E33A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D77D0">
              <w:rPr>
                <w:rFonts w:ascii="Titillium Web" w:hAnsi="Titillium Web"/>
                <w:i/>
                <w:iCs/>
                <w:szCs w:val="24"/>
              </w:rPr>
              <w:t>[ndr: scritto per lungo a lato dell’elenco] Cercare nei cocci del 313 poiché gli operai confusero i cocci</w:t>
            </w:r>
          </w:p>
        </w:tc>
      </w:tr>
      <w:tr w:rsidR="0086297F" w:rsidRPr="00BD77D0" w14:paraId="757D8D7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C193412" w14:textId="77777777" w:rsidR="0086297F" w:rsidRPr="00BD77D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D77D0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4DEF6EE1" w14:textId="3E7230BB" w:rsidR="0086297F" w:rsidRPr="00BD77D0" w:rsidRDefault="005B06B0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D77D0">
              <w:rPr>
                <w:rFonts w:ascii="Titillium Web" w:hAnsi="Titillium Web"/>
                <w:szCs w:val="24"/>
              </w:rPr>
              <w:t>In gruppo/i attorno ai resti</w:t>
            </w:r>
          </w:p>
        </w:tc>
      </w:tr>
      <w:tr w:rsidR="0086297F" w:rsidRPr="00BD77D0" w14:paraId="67182174" w14:textId="77777777" w:rsidTr="002665C6">
        <w:trPr>
          <w:jc w:val="center"/>
        </w:trPr>
        <w:tc>
          <w:tcPr>
            <w:tcW w:w="1650" w:type="pct"/>
            <w:vAlign w:val="center"/>
          </w:tcPr>
          <w:p w14:paraId="6CAA2038" w14:textId="77777777" w:rsidR="0086297F" w:rsidRPr="00BD77D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D77D0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55A2F183" w14:textId="77777777" w:rsidR="0086297F" w:rsidRPr="00BD77D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D77D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BD77D0" w14:paraId="0875F97A" w14:textId="77777777" w:rsidTr="002665C6">
        <w:trPr>
          <w:jc w:val="center"/>
        </w:trPr>
        <w:tc>
          <w:tcPr>
            <w:tcW w:w="1650" w:type="pct"/>
            <w:vAlign w:val="center"/>
          </w:tcPr>
          <w:p w14:paraId="23C84A71" w14:textId="77777777" w:rsidR="0086297F" w:rsidRPr="00BD77D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D77D0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55DC88B9" w14:textId="77777777" w:rsidR="0086297F" w:rsidRPr="00BD77D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D77D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BD77D0" w14:paraId="623DEE9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0F06FC0" w14:textId="77777777" w:rsidR="0086297F" w:rsidRPr="00BD77D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D77D0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12FBD598" w14:textId="77777777" w:rsidR="0086297F" w:rsidRPr="00BD77D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proofErr w:type="gramStart"/>
            <w:r w:rsidRPr="00BD77D0">
              <w:rPr>
                <w:rFonts w:ascii="Titillium Web" w:hAnsi="Titillium Web"/>
                <w:szCs w:val="24"/>
              </w:rPr>
              <w:t>Adulto ?</w:t>
            </w:r>
            <w:proofErr w:type="gramEnd"/>
          </w:p>
        </w:tc>
      </w:tr>
      <w:tr w:rsidR="0086297F" w:rsidRPr="00BD77D0" w14:paraId="3FDA8940" w14:textId="77777777" w:rsidTr="002665C6">
        <w:trPr>
          <w:jc w:val="center"/>
        </w:trPr>
        <w:tc>
          <w:tcPr>
            <w:tcW w:w="1650" w:type="pct"/>
            <w:vAlign w:val="center"/>
          </w:tcPr>
          <w:p w14:paraId="7CF66CBE" w14:textId="77777777" w:rsidR="0086297F" w:rsidRPr="00BD77D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D77D0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14B6B215" w14:textId="77777777" w:rsidR="007279BD" w:rsidRPr="00BD77D0" w:rsidRDefault="002E33A4" w:rsidP="00BD77D0">
            <w:pPr>
              <w:jc w:val="center"/>
              <w:rPr>
                <w:rFonts w:ascii="Titillium Web" w:hAnsi="Titillium Web"/>
                <w:szCs w:val="24"/>
              </w:rPr>
            </w:pPr>
            <w:r w:rsidRPr="00BD77D0">
              <w:rPr>
                <w:rFonts w:ascii="Titillium Web" w:eastAsia="Titillium" w:hAnsi="Titillium Web" w:cs="Titillium"/>
                <w:smallCaps/>
                <w:szCs w:val="24"/>
              </w:rPr>
              <w:t>Negrioli</w:t>
            </w:r>
            <w:r w:rsidRPr="00BD77D0">
              <w:rPr>
                <w:rFonts w:ascii="Titillium Web" w:eastAsia="Titillium" w:hAnsi="Titillium Web" w:cs="Titillium"/>
                <w:szCs w:val="24"/>
              </w:rPr>
              <w:t xml:space="preserve"> 1927, pp. 145, 165-166, 197; </w:t>
            </w:r>
            <w:r w:rsidRPr="00BD77D0">
              <w:rPr>
                <w:rFonts w:ascii="Titillium Web" w:eastAsia="Titillium" w:hAnsi="Titillium Web" w:cs="Titillium"/>
                <w:smallCaps/>
                <w:szCs w:val="24"/>
              </w:rPr>
              <w:t>Aurigemma</w:t>
            </w:r>
            <w:r w:rsidRPr="00BD77D0">
              <w:rPr>
                <w:rFonts w:ascii="Titillium Web" w:eastAsia="Titillium" w:hAnsi="Titillium Web" w:cs="Titillium"/>
                <w:szCs w:val="24"/>
              </w:rPr>
              <w:t xml:space="preserve"> 1960, pp. 137-141, tavv. 155-162; </w:t>
            </w:r>
            <w:r w:rsidRPr="00BD77D0">
              <w:rPr>
                <w:rFonts w:ascii="Titillium Web" w:eastAsia="Titillium" w:hAnsi="Titillium Web" w:cs="Titillium"/>
                <w:smallCaps/>
                <w:szCs w:val="24"/>
              </w:rPr>
              <w:t>Berti</w:t>
            </w:r>
            <w:r w:rsidRPr="00BD77D0">
              <w:rPr>
                <w:rFonts w:ascii="Titillium Web" w:eastAsia="Titillium" w:hAnsi="Titillium Web" w:cs="Titillium"/>
                <w:szCs w:val="24"/>
              </w:rPr>
              <w:t xml:space="preserve"> 1983, p. 43, fig. 13; </w:t>
            </w:r>
            <w:r w:rsidRPr="00BD77D0">
              <w:rPr>
                <w:rFonts w:ascii="Titillium Web" w:eastAsia="Titillium" w:hAnsi="Titillium Web" w:cs="Titillium"/>
                <w:smallCaps/>
                <w:szCs w:val="24"/>
              </w:rPr>
              <w:t>Paoli</w:t>
            </w:r>
            <w:r w:rsidRPr="00BD77D0">
              <w:rPr>
                <w:rFonts w:ascii="Titillium Web" w:eastAsia="Titillium" w:hAnsi="Titillium Web" w:cs="Titillium"/>
                <w:szCs w:val="24"/>
              </w:rPr>
              <w:t xml:space="preserve"> 1993, pp. 98-99; </w:t>
            </w:r>
            <w:r w:rsidRPr="00BD77D0">
              <w:rPr>
                <w:rFonts w:ascii="Titillium Web" w:eastAsia="Titillium" w:hAnsi="Titillium Web" w:cs="Titillium"/>
                <w:smallCaps/>
                <w:szCs w:val="24"/>
              </w:rPr>
              <w:t>Gaucci</w:t>
            </w:r>
            <w:r w:rsidRPr="00BD77D0">
              <w:rPr>
                <w:rFonts w:ascii="Titillium Web" w:eastAsia="Titillium" w:hAnsi="Titillium Web" w:cs="Titillium"/>
                <w:szCs w:val="24"/>
              </w:rPr>
              <w:t xml:space="preserve"> 2014; </w:t>
            </w:r>
            <w:r w:rsidRPr="00BD77D0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BD77D0">
              <w:rPr>
                <w:rFonts w:ascii="Titillium Web" w:eastAsia="Titillium" w:hAnsi="Titillium Web" w:cs="Titillium"/>
                <w:szCs w:val="24"/>
              </w:rPr>
              <w:t xml:space="preserve"> in </w:t>
            </w:r>
            <w:r w:rsidRPr="00BD77D0">
              <w:rPr>
                <w:rFonts w:ascii="Titillium Web" w:eastAsia="Titillium" w:hAnsi="Titillium Web" w:cs="Titillium"/>
                <w:i/>
                <w:iCs/>
                <w:szCs w:val="24"/>
              </w:rPr>
              <w:t>Spina</w:t>
            </w:r>
            <w:r w:rsidRPr="00BD77D0">
              <w:rPr>
                <w:rFonts w:ascii="Titillium Web" w:eastAsia="Titillium" w:hAnsi="Titillium Web" w:cs="Titillium"/>
                <w:szCs w:val="24"/>
              </w:rPr>
              <w:t xml:space="preserve"> 2023, p. 179</w:t>
            </w:r>
          </w:p>
        </w:tc>
      </w:tr>
    </w:tbl>
    <w:p w14:paraId="3DD029E0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25066"/>
    <w:rsid w:val="00551AF8"/>
    <w:rsid w:val="005B06B0"/>
    <w:rsid w:val="005B5AFF"/>
    <w:rsid w:val="006162A4"/>
    <w:rsid w:val="006346F7"/>
    <w:rsid w:val="0068412B"/>
    <w:rsid w:val="006D6EFB"/>
    <w:rsid w:val="007145BC"/>
    <w:rsid w:val="007279BD"/>
    <w:rsid w:val="0086297F"/>
    <w:rsid w:val="009E4922"/>
    <w:rsid w:val="00AB321D"/>
    <w:rsid w:val="00B165C4"/>
    <w:rsid w:val="00BD77D0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105713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409</Words>
  <Characters>2335</Characters>
  <Application>Microsoft Office Word</Application>
  <DocSecurity>0</DocSecurity>
  <Lines>19</Lines>
  <Paragraphs>5</Paragraphs>
  <ScaleCrop>false</ScaleCrop>
  <Company/>
  <LinksUpToDate>false</LinksUpToDate>
  <CharactersWithSpaces>2739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9</cp:revision>
  <dcterms:created xsi:type="dcterms:W3CDTF">2026-04-30T12:42:00Z</dcterms:created>
  <dcterms:modified xsi:type="dcterms:W3CDTF">2026-05-15T14:03:00Z</dcterms:modified>
</cp:coreProperties>
</file>