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3C3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03C3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3C3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03C3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03C3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D03C3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3C3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3C3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3C3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D20B54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Tomba 309 - a cremazione -</w:t>
            </w:r>
          </w:p>
          <w:p w14:paraId="3D097EF1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A m. 5 dallo scolo B a m. 16 dal limite Nord e a m. 0,80 di prof.tà si rinviene un gruppetto</w:t>
            </w:r>
          </w:p>
          <w:p w14:paraId="3057ACD5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di vasi sotto i quali è un mucchietto di ossa combuste.</w:t>
            </w:r>
          </w:p>
          <w:p w14:paraId="2E8E3395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Fra il gruppo di vasi sono:</w:t>
            </w:r>
          </w:p>
          <w:p w14:paraId="205DAA8E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lekythos a figure rosse, molto avariata dall'umidità, con la parte superiore staccata; nel riquadro una fig. femm.le che ha nella dest.un canestro(?)</w:t>
            </w:r>
          </w:p>
          <w:p w14:paraId="4464D1BE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lekythos piccolina, intera liscia. (Ha l'ansa staccata)</w:t>
            </w:r>
          </w:p>
          <w:p w14:paraId="6ACF3CCA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oinocoe piccolo di argilla giallo chiara, grezzo, con striscie di tinta scura attorno al ventre (fram.to nella bocca)</w:t>
            </w:r>
          </w:p>
          <w:p w14:paraId="2B5BF843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3C3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3C38">
              <w:rPr>
                <w:rFonts w:ascii="Titillium Web" w:hAnsi="Titillium Web"/>
                <w:i/>
                <w:iCs/>
                <w:szCs w:val="24"/>
              </w:rPr>
              <w:t xml:space="preserve"> piccole scodelle a ver. n., intere</w:t>
            </w:r>
          </w:p>
          <w:p w14:paraId="024FE4F5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scodella di argilla giallo chiara, grezza, con nel fondello lettere grafite</w:t>
            </w:r>
          </w:p>
          <w:p w14:paraId="4E0F2A79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è intera</w:t>
            </w:r>
          </w:p>
          <w:p w14:paraId="36DD48E3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scodella idem più grande, intera.</w:t>
            </w:r>
          </w:p>
          <w:p w14:paraId="624210A4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3C38">
              <w:rPr>
                <w:rFonts w:ascii="Titillium Web" w:hAnsi="Titillium Web"/>
                <w:i/>
                <w:iCs/>
                <w:szCs w:val="24"/>
              </w:rPr>
              <w:t>1 bulla di bronzo, vuota, e mancante dell'attacco</w:t>
            </w:r>
          </w:p>
          <w:p w14:paraId="1B855E2A" w14:textId="77777777" w:rsidR="00F17712" w:rsidRPr="00D03C3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3C3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3C38">
              <w:rPr>
                <w:rFonts w:ascii="Titillium Web" w:hAnsi="Titillium Web"/>
                <w:i/>
                <w:iCs/>
                <w:szCs w:val="24"/>
              </w:rPr>
              <w:t xml:space="preserve"> pezzi informi di bronzo –</w:t>
            </w:r>
          </w:p>
        </w:tc>
      </w:tr>
      <w:tr w:rsidR="0086297F" w:rsidRPr="00D03C3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D03C3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3C3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3C3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3C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3C3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3C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3C38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667A2B07" w14:textId="551C80BC" w:rsidR="00F17712" w:rsidRPr="00D03C38" w:rsidRDefault="00000000" w:rsidP="00D03C38">
            <w:pPr>
              <w:jc w:val="center"/>
              <w:rPr>
                <w:rFonts w:ascii="Titillium Web" w:hAnsi="Titillium Web"/>
                <w:szCs w:val="24"/>
              </w:rPr>
            </w:pPr>
            <w:r w:rsidRPr="00D03C38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D03C38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="00D03C38" w:rsidRPr="00D03C38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="00D03C38" w:rsidRPr="00D03C38">
              <w:rPr>
                <w:rFonts w:ascii="Titillium Web" w:eastAsia="Titillium" w:hAnsi="Titillium Web" w:cs="Titillium"/>
                <w:szCs w:val="24"/>
              </w:rPr>
              <w:t xml:space="preserve"> 1978, p. 397; </w:t>
            </w:r>
            <w:r w:rsidRPr="00D03C38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03C38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03C3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03C3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3DA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03C38"/>
    <w:rsid w:val="00D900AB"/>
    <w:rsid w:val="00D936E8"/>
    <w:rsid w:val="00E24633"/>
    <w:rsid w:val="00F1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2026-05-15T13:52:00Z</dcterms:modified>
</cp:coreProperties>
</file>