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5182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F5182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F5182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F5182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F5182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0,40 m</w:t>
            </w:r>
          </w:p>
        </w:tc>
      </w:tr>
      <w:tr w:rsidR="001B5504" w:rsidRPr="00F5182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5182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F5182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72E7C88" w:rsidR="001B5504" w:rsidRPr="00F5182F" w:rsidRDefault="00F5182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5182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5182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CE0F90B" w:rsidR="001B5504" w:rsidRPr="00F5182F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F5182F">
              <w:rPr>
                <w:rFonts w:ascii="Titillium Web" w:hAnsi="Titillium Web"/>
                <w:i/>
                <w:iCs/>
                <w:szCs w:val="24"/>
              </w:rPr>
              <w:t>Tomba 31 a umazione.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A m. 3 a sud della 29, giace uno scheletro orientato da nord a sud, a m. 0,40 di profondit</w:t>
            </w:r>
            <w:r w:rsidR="000F4266" w:rsidRPr="00F5182F">
              <w:rPr>
                <w:rFonts w:ascii="Titillium Web" w:hAnsi="Titillium Web"/>
                <w:i/>
                <w:iCs/>
                <w:szCs w:val="24"/>
              </w:rPr>
              <w:t>à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t>;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presso il fianco destro aveva: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- la raggiera o parte superiore di un candelabro in bronzo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a 4 punte –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 xml:space="preserve">3 - scodelle di </w:t>
            </w:r>
            <w:proofErr w:type="gramStart"/>
            <w:r w:rsidRPr="00F5182F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F5182F">
              <w:rPr>
                <w:rFonts w:ascii="Titillium Web" w:hAnsi="Titillium Web"/>
                <w:i/>
                <w:iCs/>
                <w:szCs w:val="24"/>
              </w:rPr>
              <w:t>, a vern. nera.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1 altro idem, piccolina.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1 piattello ad alto piede e a vern. nera - è rotto. reca nel medaglione dipinta una testa. avanzi di un’anfora che affiorava (minuti fram.ti)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2 conchiglie comuni, e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1 frammento di aes-rude, in bronzo.</w:t>
            </w:r>
            <w:r w:rsidRPr="00F5182F">
              <w:rPr>
                <w:rFonts w:ascii="Titillium Web" w:hAnsi="Titillium Web"/>
                <w:i/>
                <w:iCs/>
                <w:szCs w:val="24"/>
              </w:rPr>
              <w:br/>
              <w:t>Le conchiglie e il frammento informe di bronzo, erano entro la scodella nera assieme a gusci di uova, e 1 perla di ambra, con foro pervio.</w:t>
            </w:r>
          </w:p>
        </w:tc>
      </w:tr>
      <w:tr w:rsidR="001B5504" w:rsidRPr="00F5182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F5EE12A" w14:textId="69FD4F44" w:rsidR="001B5504" w:rsidRPr="00F5182F" w:rsidRDefault="00250E18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>Il corredo si disponeva lungo il fianco</w:t>
            </w:r>
            <w:r w:rsidR="007C2B44" w:rsidRPr="00F5182F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F5182F">
              <w:rPr>
                <w:rFonts w:ascii="Titillium Web" w:hAnsi="Titillium Web" w:cs="Times New Roman"/>
                <w:szCs w:val="24"/>
              </w:rPr>
              <w:t xml:space="preserve"> del defunto, senza ulteriori specifiche. Risulta di particolare interesse che una delle ciotole a v.n. contenesse le conchiglie, l’</w:t>
            </w:r>
            <w:r w:rsidRPr="00F5182F">
              <w:rPr>
                <w:rFonts w:ascii="Titillium Web" w:hAnsi="Titillium Web" w:cs="Times New Roman"/>
                <w:i/>
                <w:iCs/>
                <w:szCs w:val="24"/>
              </w:rPr>
              <w:t xml:space="preserve">aes-rude, </w:t>
            </w:r>
            <w:r w:rsidRPr="00F5182F">
              <w:rPr>
                <w:rFonts w:ascii="Titillium Web" w:hAnsi="Titillium Web" w:cs="Times New Roman"/>
                <w:szCs w:val="24"/>
              </w:rPr>
              <w:t>il vago in ambra (nn. 8-10), oltre a gusci d’uovo. Questi ultimi non sono stati rinvenuti, così come i frr. dell’anfora descritti nel GdS (n. 6*).</w:t>
            </w:r>
          </w:p>
          <w:p w14:paraId="061D8E74" w14:textId="422EAE2B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 xml:space="preserve">1. </w:t>
            </w:r>
            <w:r w:rsidRPr="00F5182F">
              <w:rPr>
                <w:rFonts w:ascii="Titillium Web" w:hAnsi="Titillium Web" w:cs="Times New Roman"/>
                <w:szCs w:val="24"/>
              </w:rPr>
              <w:t>Piatto su alto piede attico (IG 601; figure rosse)</w:t>
            </w:r>
          </w:p>
          <w:p w14:paraId="5BDE68A7" w14:textId="13DC75B3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 xml:space="preserve">2. </w:t>
            </w:r>
            <w:r w:rsidRPr="00F5182F">
              <w:rPr>
                <w:rFonts w:ascii="Titillium Web" w:hAnsi="Titillium Web" w:cs="Times New Roman"/>
                <w:szCs w:val="24"/>
              </w:rPr>
              <w:t>Ciotola attica (IG 597; vernice nera)</w:t>
            </w:r>
          </w:p>
          <w:p w14:paraId="7C184B21" w14:textId="0B9C11D9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 xml:space="preserve">3. </w:t>
            </w:r>
            <w:r w:rsidRPr="00F5182F">
              <w:rPr>
                <w:rFonts w:ascii="Titillium Web" w:hAnsi="Titillium Web" w:cs="Times New Roman"/>
                <w:szCs w:val="24"/>
              </w:rPr>
              <w:t>Ciotola attica (IG 598; vernice nera)</w:t>
            </w:r>
          </w:p>
          <w:p w14:paraId="4B072AF9" w14:textId="7D655FAF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lastRenderedPageBreak/>
              <w:t xml:space="preserve">4. </w:t>
            </w:r>
            <w:r w:rsidRPr="00F5182F">
              <w:rPr>
                <w:rFonts w:ascii="Titillium Web" w:hAnsi="Titillium Web" w:cs="Times New Roman"/>
                <w:szCs w:val="24"/>
              </w:rPr>
              <w:t>Ciotola attica (IG 599; vernice nera)</w:t>
            </w:r>
          </w:p>
          <w:p w14:paraId="6D086134" w14:textId="3514C312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>5.</w:t>
            </w:r>
            <w:r w:rsidRPr="00F5182F">
              <w:rPr>
                <w:rFonts w:ascii="Titillium Web" w:hAnsi="Titillium Web" w:cs="Times New Roman"/>
                <w:szCs w:val="24"/>
              </w:rPr>
              <w:t xml:space="preserve"> Ciotola attica (IG 600; vernice nera)</w:t>
            </w:r>
          </w:p>
          <w:p w14:paraId="7586046B" w14:textId="788C652C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>6*.</w:t>
            </w:r>
            <w:r w:rsidRPr="00F5182F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F5182F">
              <w:rPr>
                <w:rFonts w:ascii="Titillium Web" w:hAnsi="Titillium Web" w:cs="Times New Roman"/>
                <w:szCs w:val="24"/>
              </w:rPr>
              <w:t>«</w:t>
            </w:r>
            <w:r w:rsidRPr="00F5182F">
              <w:rPr>
                <w:rFonts w:ascii="Titillium Web" w:hAnsi="Titillium Web" w:cs="Times New Roman"/>
                <w:szCs w:val="24"/>
              </w:rPr>
              <w:t>Anfora</w:t>
            </w:r>
            <w:r w:rsidRPr="00F5182F">
              <w:rPr>
                <w:rFonts w:ascii="Titillium Web" w:hAnsi="Titillium Web" w:cs="Times New Roman"/>
                <w:szCs w:val="24"/>
              </w:rPr>
              <w:t>»</w:t>
            </w:r>
            <w:r w:rsidRPr="00F5182F">
              <w:rPr>
                <w:rFonts w:ascii="Titillium Web" w:hAnsi="Titillium Web" w:cs="Times New Roman"/>
                <w:szCs w:val="24"/>
              </w:rPr>
              <w:t xml:space="preserve"> (tecnica non determinabile)</w:t>
            </w:r>
          </w:p>
          <w:p w14:paraId="316478E1" w14:textId="3D124ECF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>7.</w:t>
            </w:r>
            <w:r w:rsidRPr="00F5182F">
              <w:rPr>
                <w:rFonts w:ascii="Titillium Web" w:hAnsi="Titillium Web" w:cs="Times New Roman"/>
                <w:szCs w:val="24"/>
              </w:rPr>
              <w:t xml:space="preserve"> Candelabro (IG 604; bronzo)</w:t>
            </w:r>
          </w:p>
          <w:p w14:paraId="671D6B06" w14:textId="02661E90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  <w:lang w:val="de-DE"/>
              </w:rPr>
            </w:pPr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>8.</w:t>
            </w:r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 xml:space="preserve"> Aes </w:t>
            </w:r>
            <w:proofErr w:type="spellStart"/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>rude</w:t>
            </w:r>
            <w:proofErr w:type="spellEnd"/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 xml:space="preserve"> (IG 16048; </w:t>
            </w:r>
            <w:proofErr w:type="spellStart"/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>bronzo</w:t>
            </w:r>
            <w:proofErr w:type="spellEnd"/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>)</w:t>
            </w:r>
          </w:p>
          <w:p w14:paraId="5EDA7DC9" w14:textId="22AF391B" w:rsidR="00F21933" w:rsidRPr="00F5182F" w:rsidRDefault="00F21933" w:rsidP="00F5182F">
            <w:pPr>
              <w:jc w:val="center"/>
              <w:rPr>
                <w:rFonts w:ascii="Titillium Web" w:hAnsi="Titillium Web" w:cs="Times New Roman"/>
                <w:szCs w:val="24"/>
                <w:lang w:val="de-DE"/>
              </w:rPr>
            </w:pPr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 xml:space="preserve">9. </w:t>
            </w:r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 xml:space="preserve">Vago (IG 605; </w:t>
            </w:r>
            <w:proofErr w:type="spellStart"/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>ambra</w:t>
            </w:r>
            <w:proofErr w:type="spellEnd"/>
            <w:r w:rsidRPr="00F5182F">
              <w:rPr>
                <w:rFonts w:ascii="Titillium Web" w:hAnsi="Titillium Web" w:cs="Times New Roman"/>
                <w:szCs w:val="24"/>
                <w:lang w:val="de-DE"/>
              </w:rPr>
              <w:t>)</w:t>
            </w:r>
          </w:p>
          <w:p w14:paraId="5EE32F9C" w14:textId="69A38B94" w:rsidR="00250E18" w:rsidRPr="00F5182F" w:rsidRDefault="00F21933" w:rsidP="00F5182F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 xml:space="preserve">10. </w:t>
            </w:r>
            <w:r w:rsidRPr="00F5182F">
              <w:rPr>
                <w:rFonts w:ascii="Titillium Web" w:hAnsi="Titillium Web" w:cs="Times New Roman"/>
                <w:szCs w:val="24"/>
              </w:rPr>
              <w:t>Conchiglie</w:t>
            </w:r>
          </w:p>
        </w:tc>
      </w:tr>
      <w:tr w:rsidR="001B5504" w:rsidRPr="00F5182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305741A" w:rsidR="001B5504" w:rsidRPr="00F5182F" w:rsidRDefault="007C2B4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F5182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48AD7D4" w:rsidR="001B5504" w:rsidRPr="00F5182F" w:rsidRDefault="007C2B4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 w:cs="Times New Roman"/>
                <w:szCs w:val="24"/>
              </w:rPr>
              <w:t xml:space="preserve">Sono stati espunti dal corredo, poiché non descritti dal Proni nel GdS, uno </w:t>
            </w:r>
            <w:r w:rsidRPr="00F5182F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F5182F">
              <w:rPr>
                <w:rFonts w:ascii="Titillium Web" w:hAnsi="Titillium Web" w:cs="Times New Roman"/>
                <w:szCs w:val="24"/>
              </w:rPr>
              <w:t xml:space="preserve"> ed una </w:t>
            </w:r>
            <w:r w:rsidRPr="00F5182F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F5182F">
              <w:rPr>
                <w:rFonts w:ascii="Titillium Web" w:hAnsi="Titillium Web" w:cs="Times New Roman"/>
                <w:szCs w:val="24"/>
              </w:rPr>
              <w:t xml:space="preserve"> attici e due piatti di produzione locale in ceramica grigia</w:t>
            </w:r>
            <w:r w:rsidRPr="00F5182F">
              <w:rPr>
                <w:rFonts w:ascii="Titillium Web" w:hAnsi="Titillium Web" w:cs="Times New Roman"/>
                <w:szCs w:val="24"/>
              </w:rPr>
              <w:t>.</w:t>
            </w:r>
          </w:p>
        </w:tc>
      </w:tr>
      <w:tr w:rsidR="001B5504" w:rsidRPr="00F5182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5182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5182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5182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zCs w:val="24"/>
              </w:rPr>
              <w:t>Ultimo trentennio del V sec. a.C.</w:t>
            </w:r>
          </w:p>
        </w:tc>
      </w:tr>
      <w:tr w:rsidR="001B5504" w:rsidRPr="00F5182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Negrioli</w:t>
            </w:r>
            <w:r w:rsidRPr="00F5182F">
              <w:rPr>
                <w:rFonts w:ascii="Titillium Web" w:hAnsi="Titillium Web"/>
                <w:szCs w:val="24"/>
              </w:rPr>
              <w:t xml:space="preserve"> 1924, p. 296; </w:t>
            </w:r>
            <w:r w:rsidRPr="00F5182F">
              <w:rPr>
                <w:rFonts w:ascii="Titillium Web" w:hAnsi="Titillium Web"/>
                <w:smallCaps/>
                <w:szCs w:val="24"/>
              </w:rPr>
              <w:t>Hostetter</w:t>
            </w:r>
            <w:r w:rsidRPr="00F5182F">
              <w:rPr>
                <w:rFonts w:ascii="Titillium Web" w:hAnsi="Titillium Web"/>
                <w:szCs w:val="24"/>
              </w:rPr>
              <w:t xml:space="preserve"> 1986, p. 113; </w:t>
            </w:r>
            <w:r w:rsidRPr="00F5182F">
              <w:rPr>
                <w:rFonts w:ascii="Titillium Web" w:hAnsi="Titillium Web"/>
                <w:smallCaps/>
                <w:szCs w:val="24"/>
              </w:rPr>
              <w:t>Guarnieri</w:t>
            </w:r>
            <w:r w:rsidRPr="00F5182F">
              <w:rPr>
                <w:rFonts w:ascii="Titillium Web" w:hAnsi="Titillium Web"/>
                <w:szCs w:val="24"/>
              </w:rPr>
              <w:t xml:space="preserve"> 1993, p. 189, nota 11.</w:t>
            </w:r>
          </w:p>
        </w:tc>
      </w:tr>
      <w:tr w:rsidR="001B5504" w:rsidRPr="00F5182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518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182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518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0F4266"/>
    <w:rsid w:val="001230C8"/>
    <w:rsid w:val="001B5504"/>
    <w:rsid w:val="001F2833"/>
    <w:rsid w:val="00250E18"/>
    <w:rsid w:val="0029024B"/>
    <w:rsid w:val="002977D7"/>
    <w:rsid w:val="002F1500"/>
    <w:rsid w:val="00472AF4"/>
    <w:rsid w:val="005B5AFF"/>
    <w:rsid w:val="0068458A"/>
    <w:rsid w:val="00710B38"/>
    <w:rsid w:val="007145BC"/>
    <w:rsid w:val="007C2B44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05435"/>
    <w:rsid w:val="00F21933"/>
    <w:rsid w:val="00F5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2026-05-16T09:34:00Z</dcterms:modified>
</cp:coreProperties>
</file>