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17C0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A17C0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17C0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17C0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17C0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1,28 m</w:t>
            </w:r>
          </w:p>
        </w:tc>
      </w:tr>
      <w:tr w:rsidR="0086297F" w:rsidRPr="00A17C0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17C0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17C0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17C0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B9662C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Tomba 311 a cremazione -</w:t>
            </w:r>
          </w:p>
          <w:p w14:paraId="74918763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A m. 22 dallo scolo B, a m. 7 dal limite Nord e a m. 1,28 di profondità, poggiava</w:t>
            </w:r>
          </w:p>
          <w:p w14:paraId="0E03E644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1 grande cratere a campana, a fig. rosse, di stile bello, rotto in pochi e bellissimi frammenti (ricomponibili per intero e perfettamente)</w:t>
            </w:r>
          </w:p>
          <w:p w14:paraId="46A57793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Entro al vaso erano le ossa combuste.</w:t>
            </w:r>
          </w:p>
          <w:p w14:paraId="54E91712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Nel dritto del vaso: una figura maschile barbata seduta su una seggiola e volto a destra; regge nella sinis. il tirso e con la destra regge una figurina maschile ignuda che è in piedi sulle sue ginocchia</w:t>
            </w:r>
          </w:p>
          <w:p w14:paraId="0D26F11F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La figurina ignuda tiene in una mano il cantaro e nell’altra un ramo con due lunghi steli ricurvi.</w:t>
            </w:r>
          </w:p>
          <w:p w14:paraId="29FCF519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A destra una fig. fem.le come meravigliata che regge nella sin. un manto (?); a sin. altra figura femm.le che ha in mano un fiore (?)</w:t>
            </w:r>
          </w:p>
          <w:p w14:paraId="68539AD1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Nel rovescio da sin. a des.: figura fem.le ammantata che suona la doppia tibia; poi fig. di giovane ignudo con bastone (?) e poi una terza figura, fem.le con ali volta davanti al giovane ignudo.</w:t>
            </w:r>
          </w:p>
          <w:p w14:paraId="6A6742DA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Porta traccia di restauro antico.</w:t>
            </w:r>
          </w:p>
          <w:p w14:paraId="167C99DD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Fra le ceneri:</w:t>
            </w:r>
          </w:p>
          <w:p w14:paraId="45275FA5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2 oinocoi a vern. n. con bocca trilobata, interi</w:t>
            </w:r>
          </w:p>
          <w:p w14:paraId="128D04CD" w14:textId="77777777" w:rsidR="00B00A64" w:rsidRPr="00A17C06" w:rsidRDefault="00A325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7C06">
              <w:rPr>
                <w:rFonts w:ascii="Titillium Web" w:hAnsi="Titillium Web"/>
                <w:i/>
                <w:iCs/>
                <w:szCs w:val="24"/>
              </w:rPr>
              <w:t>1 piccola lekythos, con palmette dipinte, intera</w:t>
            </w:r>
          </w:p>
        </w:tc>
      </w:tr>
      <w:tr w:rsidR="0086297F" w:rsidRPr="00A17C0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A17C0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7C0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7C0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17C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7C0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17C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7C0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6FDE75E" w14:textId="77777777" w:rsidR="00B00A64" w:rsidRPr="00A17C06" w:rsidRDefault="00A325AD" w:rsidP="00A17C06">
            <w:pPr>
              <w:jc w:val="center"/>
              <w:rPr>
                <w:rFonts w:ascii="Titillium Web" w:hAnsi="Titillium Web"/>
                <w:szCs w:val="24"/>
              </w:rPr>
            </w:pPr>
            <w:r w:rsidRPr="00A17C06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A17C06">
              <w:rPr>
                <w:rFonts w:ascii="Titillium Web" w:eastAsia="Titillium" w:hAnsi="Titillium Web" w:cs="Titillium"/>
                <w:szCs w:val="24"/>
              </w:rPr>
              <w:t xml:space="preserve"> 1927, p. 166, tav. XVI, pp. 145 e 193; </w:t>
            </w:r>
            <w:r w:rsidRPr="00A17C06">
              <w:rPr>
                <w:rFonts w:ascii="Titillium Web" w:eastAsia="Titillium" w:hAnsi="Titillium Web" w:cs="Titillium"/>
                <w:smallCaps/>
                <w:szCs w:val="24"/>
              </w:rPr>
              <w:t>Felletti Maj</w:t>
            </w:r>
            <w:r w:rsidRPr="00A17C06">
              <w:rPr>
                <w:rFonts w:ascii="Titillium Web" w:eastAsia="Titillium" w:hAnsi="Titillium Web" w:cs="Titillium"/>
                <w:szCs w:val="24"/>
              </w:rPr>
              <w:t xml:space="preserve"> 1940, p. 45; </w:t>
            </w:r>
            <w:r w:rsidRPr="00A17C06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A17C06">
              <w:rPr>
                <w:rFonts w:ascii="Titillium Web" w:eastAsia="Titillium" w:hAnsi="Titillium Web" w:cs="Titillium"/>
                <w:szCs w:val="24"/>
              </w:rPr>
              <w:t xml:space="preserve"> 1960, pp. 121-123, tavv. 139-142; </w:t>
            </w:r>
            <w:r w:rsidRPr="00A17C0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17C06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A17C0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17C06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A17C06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A17C06">
              <w:rPr>
                <w:rFonts w:ascii="Titillium Web" w:eastAsia="Titillium" w:hAnsi="Titillium Web" w:cs="Titillium"/>
                <w:szCs w:val="24"/>
              </w:rPr>
              <w:t xml:space="preserve"> 2023, p. 194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165D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17C06"/>
    <w:rsid w:val="00AB321D"/>
    <w:rsid w:val="00B00A64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2026-05-15T13:50:00Z</dcterms:modified>
</cp:coreProperties>
</file>