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323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875D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E875D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875D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875D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875D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E875D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875D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875D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875D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7B7478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Tomba 323 a umazione</w:t>
            </w:r>
          </w:p>
          <w:p w14:paraId="482FD757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(è sepolta nell’alluvione)</w:t>
            </w:r>
          </w:p>
          <w:p w14:paraId="6E6503D6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 xml:space="preserve">A m. 8 dallo scolo B, a m. 30,40 dal limite nord e a m. 0,75 di profondità giaceva uno scheletro orientato da NO a </w:t>
            </w:r>
            <w:proofErr w:type="gramStart"/>
            <w:r w:rsidRPr="00E875DA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E875DA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345123C7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A destra dello scheletro era:</w:t>
            </w:r>
          </w:p>
          <w:p w14:paraId="27D646A9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 xml:space="preserve">1 cratere a calice, in frammenti, a figure rosse (l’orlo del vaso distava appena 25 centimetri dal piano terra) nel lato A: una menade col tirso che tiene sollevato sul capo, incede verso sin. con il capo rivolto all’indietro; con la sinistra trascina per la barba un </w:t>
            </w:r>
            <w:proofErr w:type="gramStart"/>
            <w:r w:rsidRPr="00E875DA">
              <w:rPr>
                <w:rFonts w:ascii="Titillium Web" w:hAnsi="Titillium Web"/>
                <w:i/>
                <w:iCs/>
                <w:szCs w:val="24"/>
              </w:rPr>
              <w:t>satiro</w:t>
            </w:r>
            <w:proofErr w:type="gramEnd"/>
            <w:r w:rsidRPr="00E875DA">
              <w:rPr>
                <w:rFonts w:ascii="Titillium Web" w:hAnsi="Titillium Web"/>
                <w:i/>
                <w:iCs/>
                <w:szCs w:val="24"/>
              </w:rPr>
              <w:t xml:space="preserve"> il quale ha sulla spalla la pelle ferina che gli scende dietro la schiena. Il satiro ha, con la destra, preso il piede della menade che sostiene piegato e con la gamba alzata.</w:t>
            </w:r>
          </w:p>
          <w:p w14:paraId="6261922A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Nel rovescio: un uomo barbato davanti a un giovane ammantato, e ignudo.</w:t>
            </w:r>
          </w:p>
          <w:p w14:paraId="54314E1E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Il disegno è buono e bene conservato.</w:t>
            </w:r>
          </w:p>
          <w:p w14:paraId="028EAE38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1 lekane piccolina, a vern. nera, leggermente frammentata nell’orlo del coperchio.</w:t>
            </w:r>
          </w:p>
          <w:p w14:paraId="36BE3B3D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1 oinocoe oblungo, a bocca rotonda, con ansa verticale, a fig. nere: un guerriero con elmo in capo e lancia in mano.</w:t>
            </w:r>
          </w:p>
          <w:p w14:paraId="3AF36309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Di disegno strapazzato, intero.</w:t>
            </w:r>
          </w:p>
          <w:p w14:paraId="262B32E1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1 oinocoe a forma di brocca, di argilla comune, rossiccia, grezzo, intero.</w:t>
            </w:r>
          </w:p>
          <w:p w14:paraId="624B96B6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1 vasetto a forma di skyfos, a ver nera, il quale aveva un’ansa sola che manca e presso l’orlo un’incavo ove entrava</w:t>
            </w:r>
          </w:p>
          <w:p w14:paraId="08E1AE12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1 coperchietto a vern. nera, con pomello a forma di pigna</w:t>
            </w:r>
          </w:p>
          <w:p w14:paraId="54DF95DF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875DA">
              <w:rPr>
                <w:rFonts w:ascii="Titillium Web" w:hAnsi="Titillium Web"/>
                <w:i/>
                <w:iCs/>
                <w:szCs w:val="24"/>
              </w:rPr>
              <w:lastRenderedPageBreak/>
              <w:t>6</w:t>
            </w:r>
            <w:proofErr w:type="gramEnd"/>
            <w:r w:rsidRPr="00E875DA">
              <w:rPr>
                <w:rFonts w:ascii="Titillium Web" w:hAnsi="Titillium Web"/>
                <w:i/>
                <w:iCs/>
                <w:szCs w:val="24"/>
              </w:rPr>
              <w:t xml:space="preserve"> scodelle a vern. nera, con alto piede, delle quali una soltanto è intera.</w:t>
            </w:r>
          </w:p>
          <w:p w14:paraId="208561BB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875D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875DA">
              <w:rPr>
                <w:rFonts w:ascii="Titillium Web" w:hAnsi="Titillium Web"/>
                <w:i/>
                <w:iCs/>
                <w:szCs w:val="24"/>
              </w:rPr>
              <w:t xml:space="preserve"> scodellini, apodi, a vern. nera interi</w:t>
            </w:r>
          </w:p>
          <w:p w14:paraId="380314FB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1 pieduccio di bronzo; di mobile?</w:t>
            </w:r>
          </w:p>
          <w:p w14:paraId="6948B70D" w14:textId="77777777" w:rsidR="00296727" w:rsidRPr="00E875D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75DA">
              <w:rPr>
                <w:rFonts w:ascii="Titillium Web" w:hAnsi="Titillium Web"/>
                <w:i/>
                <w:iCs/>
                <w:szCs w:val="24"/>
              </w:rPr>
              <w:t>1 piatto di argilla comune rossiccia a piede alto: intero</w:t>
            </w:r>
          </w:p>
        </w:tc>
      </w:tr>
      <w:tr w:rsidR="0086297F" w:rsidRPr="00E875D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875D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E875D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875D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875D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875DA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E875D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875D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75D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A34DB5" w14:textId="77777777" w:rsidR="00296727" w:rsidRPr="00E875DA" w:rsidRDefault="00000000" w:rsidP="00E875DA">
            <w:pPr>
              <w:jc w:val="center"/>
              <w:rPr>
                <w:rFonts w:ascii="Titillium Web" w:hAnsi="Titillium Web"/>
                <w:szCs w:val="24"/>
              </w:rPr>
            </w:pPr>
            <w:r w:rsidRPr="00E875DA">
              <w:rPr>
                <w:rFonts w:ascii="Titillium Web" w:eastAsia="Titillium" w:hAnsi="Titillium Web" w:cs="Titillium"/>
                <w:i/>
                <w:iCs/>
                <w:szCs w:val="24"/>
              </w:rPr>
              <w:t>Mostra</w:t>
            </w:r>
            <w:r w:rsidRPr="00E875DA">
              <w:rPr>
                <w:rFonts w:ascii="Titillium Web" w:eastAsia="Titillium" w:hAnsi="Titillium Web" w:cs="Titillium"/>
                <w:szCs w:val="24"/>
              </w:rPr>
              <w:t xml:space="preserve"> 1960, pp. 286-287, nn. 875-887, tav. LXVIII; </w:t>
            </w:r>
            <w:r w:rsidRPr="00E875DA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E875DA">
              <w:rPr>
                <w:rFonts w:ascii="Titillium Web" w:eastAsia="Titillium" w:hAnsi="Titillium Web" w:cs="Titillium"/>
                <w:szCs w:val="24"/>
              </w:rPr>
              <w:t xml:space="preserve"> 1960, pp. 114-116, tavv. 136-137; </w:t>
            </w:r>
            <w:r w:rsidRPr="00E875DA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E875DA">
              <w:rPr>
                <w:rFonts w:ascii="Titillium Web" w:eastAsia="Titillium" w:hAnsi="Titillium Web" w:cs="Titillium"/>
                <w:szCs w:val="24"/>
              </w:rPr>
              <w:t xml:space="preserve"> 1993a, pp. 279-281; </w:t>
            </w:r>
            <w:r w:rsidRPr="00E875DA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E875DA">
              <w:rPr>
                <w:rFonts w:ascii="Titillium Web" w:eastAsia="Titillium" w:hAnsi="Titillium Web" w:cs="Titillium"/>
                <w:szCs w:val="24"/>
              </w:rPr>
              <w:t xml:space="preserve"> 2001, p. 151, n. 375; </w:t>
            </w:r>
            <w:r w:rsidRPr="00E875D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E875DA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E875DA">
              <w:rPr>
                <w:rFonts w:ascii="Titillium Web" w:eastAsia="Titillium" w:hAnsi="Titillium Web" w:cs="Titillium"/>
                <w:smallCaps/>
                <w:szCs w:val="24"/>
              </w:rPr>
              <w:t>Bandini</w:t>
            </w:r>
            <w:r w:rsidRPr="00E875DA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E875DA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E875DA">
              <w:rPr>
                <w:rFonts w:ascii="Titillium Web" w:eastAsia="Titillium" w:hAnsi="Titillium Web" w:cs="Titillium"/>
                <w:szCs w:val="24"/>
              </w:rPr>
              <w:t xml:space="preserve"> 2023, p. 278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76DB"/>
    <w:rsid w:val="001C17CC"/>
    <w:rsid w:val="00296727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8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2026-05-15T13:43:00Z</dcterms:modified>
</cp:coreProperties>
</file>