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C67B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EC67B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C67B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EC67B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EC67B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0,25 m</w:t>
            </w:r>
          </w:p>
        </w:tc>
      </w:tr>
      <w:tr w:rsidR="001B5504" w:rsidRPr="00EC67B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C67B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B838BBC" w:rsidR="001B5504" w:rsidRPr="00EC67BF" w:rsidRDefault="005E50F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EC67B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09473FA" w:rsidR="001B5504" w:rsidRPr="00EC67BF" w:rsidRDefault="005E50F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C67B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C67B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340F16E6" w:rsidR="001B5504" w:rsidRPr="00EC67BF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EC67BF">
              <w:rPr>
                <w:rFonts w:ascii="Titillium Web" w:hAnsi="Titillium Web"/>
                <w:i/>
                <w:iCs/>
                <w:szCs w:val="24"/>
              </w:rPr>
              <w:t>Tomba 33 a umazione –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A m. 3 a sud della precedente, giaceva uno scheletro orientato da nord a sud e alla prof.tà di m. 0,25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Presso la testa era: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1 alabastron in pezzi presso il fianco destro: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2 oinochoai a vern. nera, interi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1 piattello ad alto piede, a vern. nera, con giro di foglie presso l’orlo, è frammentato.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1 kylix in frammenti, figurata, con scena di offerta davanti ad un’altare o ara: figurata anche nel rovescio.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2 tazze nere, in frammenti, con alto piede (entro a una erano 6 o 7 conchiglie (cyprea) non forate.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1 piccolo piattello ad alto piede, a vern.n., intero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1 frammento di bronzo (?)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6 o 7 piattelli di terra rossa locale, fra interi e framm.tati</w:t>
            </w:r>
            <w:r w:rsidRPr="00EC67BF">
              <w:rPr>
                <w:rFonts w:ascii="Titillium Web" w:hAnsi="Titillium Web"/>
                <w:i/>
                <w:iCs/>
                <w:szCs w:val="24"/>
              </w:rPr>
              <w:br/>
              <w:t>Il materiale fittile di questa tomba affiorava; anzi gli oinochoai si sono salvati per puro caso, poiché si sono visti fra le erbe prima di pelare il terreno (tagliare col taglio del badile le radici delle erbe).</w:t>
            </w:r>
          </w:p>
        </w:tc>
      </w:tr>
      <w:tr w:rsidR="001B5504" w:rsidRPr="00EC67B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D26AB03" w14:textId="46BA77FD" w:rsidR="00273DCF" w:rsidRPr="00EC67BF" w:rsidRDefault="00273DC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 w:cs="Times New Roman"/>
                <w:szCs w:val="24"/>
              </w:rPr>
              <w:t>Il corredo era disposto lungo il fianco</w:t>
            </w:r>
            <w:r w:rsidRPr="00EC67BF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EC67BF">
              <w:rPr>
                <w:rFonts w:ascii="Titillium Web" w:hAnsi="Titillium Web" w:cs="Times New Roman"/>
                <w:szCs w:val="24"/>
              </w:rPr>
              <w:t xml:space="preserve"> del defunto, a partire dal gomito. L’unico elemento isolato era un </w:t>
            </w:r>
            <w:r w:rsidRPr="00EC67BF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EC67BF">
              <w:rPr>
                <w:rFonts w:ascii="Titillium Web" w:hAnsi="Titillium Web" w:cs="Times New Roman"/>
                <w:szCs w:val="24"/>
              </w:rPr>
              <w:t xml:space="preserve">, collocato nei pressi della testa (nn. 16-17). La ricostruzione filologica del corredo risulta complessa a causa delle numerose incertezze relative alla pertinenza di </w:t>
            </w:r>
            <w:r w:rsidRPr="00EC67BF">
              <w:rPr>
                <w:rFonts w:ascii="Titillium Web" w:hAnsi="Titillium Web" w:cs="Times New Roman"/>
                <w:szCs w:val="24"/>
              </w:rPr>
              <w:lastRenderedPageBreak/>
              <w:t>alcuni vasi. Risulta perduto un piatto su alto piede a v.n. locale, rinvenuto integro (n. 9*).</w:t>
            </w:r>
          </w:p>
          <w:p w14:paraId="2862AE83" w14:textId="2BE9D5CA" w:rsidR="000B1EF2" w:rsidRPr="00EC67BF" w:rsidRDefault="005E50F6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0B1EF2" w:rsidRPr="00EC67BF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Kylix attica</w:t>
              </w:r>
            </w:hyperlink>
            <w:r w:rsidR="000B1EF2" w:rsidRPr="00EC67BF">
              <w:rPr>
                <w:rFonts w:ascii="Titillium Web" w:hAnsi="Titillium Web"/>
                <w:szCs w:val="24"/>
              </w:rPr>
              <w:t xml:space="preserve"> (IG 16064; figure rosse)</w:t>
            </w:r>
          </w:p>
          <w:p w14:paraId="6CCD903C" w14:textId="2C3EF2CA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2. </w:t>
            </w:r>
            <w:r w:rsidR="000B1EF2" w:rsidRPr="00EC67BF">
              <w:rPr>
                <w:rFonts w:ascii="Titillium Web" w:hAnsi="Titillium Web"/>
                <w:szCs w:val="24"/>
              </w:rPr>
              <w:t>Piatto su alto piede attico (IG 538; figure rosse)</w:t>
            </w:r>
          </w:p>
          <w:p w14:paraId="252333ED" w14:textId="1D704F6E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3. </w:t>
            </w:r>
            <w:r w:rsidR="000B1EF2" w:rsidRPr="00EC67BF">
              <w:rPr>
                <w:rFonts w:ascii="Titillium Web" w:hAnsi="Titillium Web"/>
                <w:szCs w:val="24"/>
              </w:rPr>
              <w:t>Piatto su alto piede attico (IG 16066; figure rosse)</w:t>
            </w:r>
          </w:p>
          <w:p w14:paraId="528BD4C0" w14:textId="205238E8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4. </w:t>
            </w:r>
            <w:r w:rsidR="000B1EF2" w:rsidRPr="00EC67BF">
              <w:rPr>
                <w:rFonts w:ascii="Titillium Web" w:hAnsi="Titillium Web"/>
                <w:szCs w:val="24"/>
              </w:rPr>
              <w:t>Oinochoe attica a bocca trilobata (IG 536; vernice nera)</w:t>
            </w:r>
          </w:p>
          <w:p w14:paraId="596DB8CB" w14:textId="67F43B10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5. </w:t>
            </w:r>
            <w:r w:rsidR="000B1EF2" w:rsidRPr="00EC67BF">
              <w:rPr>
                <w:rFonts w:ascii="Titillium Web" w:hAnsi="Titillium Web"/>
                <w:szCs w:val="24"/>
              </w:rPr>
              <w:t>Oinochoe attica a bocca trilobata (IG 535; vernice nera)</w:t>
            </w:r>
          </w:p>
          <w:p w14:paraId="615724ED" w14:textId="4AACF442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6. </w:t>
            </w:r>
            <w:r w:rsidR="000B1EF2" w:rsidRPr="00EC67BF">
              <w:rPr>
                <w:rFonts w:ascii="Titillium Web" w:hAnsi="Titillium Web"/>
                <w:szCs w:val="24"/>
              </w:rPr>
              <w:t>Ciotola su alto piede attica (IG 530; vernice nera)</w:t>
            </w:r>
          </w:p>
          <w:p w14:paraId="6730887D" w14:textId="0BBC1A2D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7. </w:t>
            </w:r>
            <w:r w:rsidR="000B1EF2" w:rsidRPr="00EC67BF">
              <w:rPr>
                <w:rFonts w:ascii="Titillium Web" w:hAnsi="Titillium Web"/>
                <w:szCs w:val="24"/>
              </w:rPr>
              <w:t>Ciotola su alto piede attica (IG 16065; vernice nera)</w:t>
            </w:r>
          </w:p>
          <w:p w14:paraId="4BF10EEF" w14:textId="329C1F86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8. </w:t>
            </w:r>
            <w:r w:rsidR="000B1EF2" w:rsidRPr="00EC67BF">
              <w:rPr>
                <w:rFonts w:ascii="Titillium Web" w:hAnsi="Titillium Web"/>
                <w:szCs w:val="24"/>
              </w:rPr>
              <w:t>Ciotola su alto piede attica (IG 16067; vernice nera)</w:t>
            </w:r>
          </w:p>
          <w:p w14:paraId="79D6B366" w14:textId="18C26680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9*. </w:t>
            </w:r>
            <w:r w:rsidR="000B1EF2" w:rsidRPr="00EC67BF">
              <w:rPr>
                <w:rFonts w:ascii="Titillium Web" w:hAnsi="Titillium Web"/>
                <w:szCs w:val="24"/>
              </w:rPr>
              <w:t>Piatto su alto piede attico (?) (vernice nera)</w:t>
            </w:r>
          </w:p>
          <w:p w14:paraId="3CAD4252" w14:textId="3FA338C5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10. </w:t>
            </w:r>
            <w:r w:rsidR="000B1EF2" w:rsidRPr="00EC67BF">
              <w:rPr>
                <w:rFonts w:ascii="Titillium Web" w:hAnsi="Titillium Web"/>
                <w:szCs w:val="24"/>
              </w:rPr>
              <w:t>Piatto su alto piede di produzione locale (IG 534; ceramica grigia)</w:t>
            </w:r>
          </w:p>
          <w:p w14:paraId="5DD61DC7" w14:textId="71DA3830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11. </w:t>
            </w:r>
            <w:r w:rsidR="000B1EF2" w:rsidRPr="00EC67BF">
              <w:rPr>
                <w:rFonts w:ascii="Titillium Web" w:hAnsi="Titillium Web"/>
                <w:szCs w:val="24"/>
              </w:rPr>
              <w:t>Piatto di produzione locale (IG 533; ceramica depurata)</w:t>
            </w:r>
          </w:p>
          <w:p w14:paraId="7A413AE6" w14:textId="7A0427D4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12. </w:t>
            </w:r>
            <w:r w:rsidR="000B1EF2" w:rsidRPr="00EC67BF">
              <w:rPr>
                <w:rFonts w:ascii="Titillium Web" w:hAnsi="Titillium Web"/>
                <w:szCs w:val="24"/>
              </w:rPr>
              <w:t>Piatto di produzione locale (IG 532; ceramica depurata)</w:t>
            </w:r>
          </w:p>
          <w:p w14:paraId="337D8111" w14:textId="78F8718A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13. </w:t>
            </w:r>
            <w:r w:rsidR="000B1EF2" w:rsidRPr="00EC67BF">
              <w:rPr>
                <w:rFonts w:ascii="Titillium Web" w:hAnsi="Titillium Web"/>
                <w:szCs w:val="24"/>
              </w:rPr>
              <w:t>Piatto di produzione locale (IG 529; ceramica depurata)</w:t>
            </w:r>
          </w:p>
          <w:p w14:paraId="70CD3839" w14:textId="25A1E31A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14. </w:t>
            </w:r>
            <w:r w:rsidR="000B1EF2" w:rsidRPr="00EC67BF">
              <w:rPr>
                <w:rFonts w:ascii="Titillium Web" w:hAnsi="Titillium Web"/>
                <w:szCs w:val="24"/>
              </w:rPr>
              <w:t>Piatto di produzione locale (IG 16068; ceramica depurata)</w:t>
            </w:r>
          </w:p>
          <w:p w14:paraId="0BF2D4C0" w14:textId="63823DE6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15. </w:t>
            </w:r>
            <w:r w:rsidR="000B1EF2" w:rsidRPr="00EC67BF">
              <w:rPr>
                <w:rFonts w:ascii="Titillium Web" w:hAnsi="Titillium Web"/>
                <w:szCs w:val="24"/>
              </w:rPr>
              <w:t>Piatto di produzione locale (IG 16069; ceramica depurata)</w:t>
            </w:r>
          </w:p>
          <w:p w14:paraId="7DD88EE8" w14:textId="6E242E8A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16. </w:t>
            </w:r>
            <w:r w:rsidR="000B1EF2" w:rsidRPr="00EC67BF">
              <w:rPr>
                <w:rFonts w:ascii="Titillium Web" w:hAnsi="Titillium Web"/>
                <w:szCs w:val="24"/>
              </w:rPr>
              <w:t>Alabastron (IG 16070; gesso alabastrino)</w:t>
            </w:r>
          </w:p>
          <w:p w14:paraId="77EF4D38" w14:textId="4988179D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 xml:space="preserve">17. </w:t>
            </w:r>
            <w:r w:rsidR="000B1EF2" w:rsidRPr="00EC67BF">
              <w:rPr>
                <w:rFonts w:ascii="Titillium Web" w:hAnsi="Titillium Web"/>
                <w:szCs w:val="24"/>
              </w:rPr>
              <w:t>Alabastron (IG 16071; gesso alabastrino)</w:t>
            </w:r>
          </w:p>
          <w:p w14:paraId="32724FC3" w14:textId="039F3A6D" w:rsidR="000B1EF2" w:rsidRPr="00EC67BF" w:rsidRDefault="00EC67BF" w:rsidP="00EC67BF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EC67BF">
              <w:rPr>
                <w:rFonts w:ascii="Titillium Web" w:hAnsi="Titillium Web"/>
                <w:szCs w:val="24"/>
                <w:lang w:val="de-DE"/>
              </w:rPr>
              <w:t xml:space="preserve">18. </w:t>
            </w:r>
            <w:r w:rsidR="000B1EF2" w:rsidRPr="00EC67BF">
              <w:rPr>
                <w:rFonts w:ascii="Titillium Web" w:hAnsi="Titillium Web"/>
                <w:szCs w:val="24"/>
                <w:lang w:val="de-DE"/>
              </w:rPr>
              <w:t xml:space="preserve">Aes </w:t>
            </w:r>
            <w:proofErr w:type="spellStart"/>
            <w:r w:rsidR="000B1EF2" w:rsidRPr="00EC67BF">
              <w:rPr>
                <w:rFonts w:ascii="Titillium Web" w:hAnsi="Titillium Web"/>
                <w:szCs w:val="24"/>
                <w:lang w:val="de-DE"/>
              </w:rPr>
              <w:t>rude</w:t>
            </w:r>
            <w:proofErr w:type="spellEnd"/>
            <w:r w:rsidR="000B1EF2" w:rsidRPr="00EC67BF">
              <w:rPr>
                <w:rFonts w:ascii="Titillium Web" w:hAnsi="Titillium Web"/>
                <w:szCs w:val="24"/>
                <w:lang w:val="de-DE"/>
              </w:rPr>
              <w:t xml:space="preserve"> (IG 16072; </w:t>
            </w:r>
            <w:proofErr w:type="spellStart"/>
            <w:r w:rsidR="000B1EF2" w:rsidRPr="00EC67BF">
              <w:rPr>
                <w:rFonts w:ascii="Titillium Web" w:hAnsi="Titillium Web"/>
                <w:szCs w:val="24"/>
                <w:lang w:val="de-DE"/>
              </w:rPr>
              <w:t>bronzo</w:t>
            </w:r>
            <w:proofErr w:type="spellEnd"/>
            <w:r w:rsidR="000B1EF2" w:rsidRPr="00EC67BF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5EE32F9C" w14:textId="4E37EFDB" w:rsidR="001B5504" w:rsidRPr="00EC67BF" w:rsidRDefault="00EC67BF" w:rsidP="00EC67BF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EC67BF">
              <w:rPr>
                <w:rFonts w:ascii="Titillium Web" w:hAnsi="Titillium Web"/>
                <w:szCs w:val="24"/>
                <w:lang w:val="de-DE"/>
              </w:rPr>
              <w:t xml:space="preserve">19. </w:t>
            </w:r>
            <w:proofErr w:type="spellStart"/>
            <w:r w:rsidR="000B1EF2" w:rsidRPr="00EC67BF">
              <w:rPr>
                <w:rFonts w:ascii="Titillium Web" w:hAnsi="Titillium Web"/>
                <w:szCs w:val="24"/>
                <w:lang w:val="de-DE"/>
              </w:rPr>
              <w:t>Conchiglie</w:t>
            </w:r>
            <w:proofErr w:type="spellEnd"/>
            <w:r w:rsidRPr="00EC67BF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r w:rsidR="000B1EF2" w:rsidRPr="00EC67BF">
              <w:rPr>
                <w:rFonts w:ascii="Titillium Web" w:hAnsi="Titillium Web"/>
                <w:szCs w:val="24"/>
                <w:lang w:val="de-DE"/>
              </w:rPr>
              <w:t>(IG 16073)</w:t>
            </w:r>
          </w:p>
        </w:tc>
      </w:tr>
      <w:tr w:rsidR="001B5504" w:rsidRPr="00EC67B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66787B2" w:rsidR="001B5504" w:rsidRPr="00EC67BF" w:rsidRDefault="00273D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EC67B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2F98FB5" w:rsidR="001B5504" w:rsidRPr="00EC67BF" w:rsidRDefault="00EC67B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C67B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C67B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C67B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C67B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zCs w:val="24"/>
              </w:rPr>
              <w:t>Fine V sec. a.C.</w:t>
            </w:r>
          </w:p>
        </w:tc>
      </w:tr>
      <w:tr w:rsidR="001B5504" w:rsidRPr="00EC67B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Berti</w:t>
            </w:r>
            <w:r w:rsidRPr="00EC67BF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="001B5504" w:rsidRPr="00EC67B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C67B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7B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C67B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B1EF2"/>
    <w:rsid w:val="000D72F4"/>
    <w:rsid w:val="001230C8"/>
    <w:rsid w:val="001B5504"/>
    <w:rsid w:val="001F2833"/>
    <w:rsid w:val="00273DCF"/>
    <w:rsid w:val="0029024B"/>
    <w:rsid w:val="002977D7"/>
    <w:rsid w:val="002F1500"/>
    <w:rsid w:val="00472AF4"/>
    <w:rsid w:val="005B5AFF"/>
    <w:rsid w:val="005E50F6"/>
    <w:rsid w:val="0068458A"/>
    <w:rsid w:val="00710B38"/>
    <w:rsid w:val="007145BC"/>
    <w:rsid w:val="007D54CD"/>
    <w:rsid w:val="00942E70"/>
    <w:rsid w:val="00943EAC"/>
    <w:rsid w:val="00950348"/>
    <w:rsid w:val="009723C9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C67BF"/>
    <w:rsid w:val="00EE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6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032D75B1-275C-4015-B5F0-9D63ED595F08%7d&amp;noResults=1&amp;recordCount=1&amp;databaseID=%7b12FC52A7-0E32-4A81-9FFA-C8C6CF430677%7d&amp;search=%20%7bAND%7d%202501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2026-05-16T09:59:00Z</dcterms:modified>
</cp:coreProperties>
</file>