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E6CE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AE6CE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E6CE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E6CE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E6CE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AE6CE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E6CE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E6CE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E6CE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F3846F" w14:textId="77777777" w:rsidR="00C330AF" w:rsidRPr="00AE6CE3" w:rsidRDefault="00335C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E6CE3">
              <w:rPr>
                <w:rFonts w:ascii="Titillium Web" w:hAnsi="Titillium Web"/>
                <w:i/>
                <w:iCs/>
                <w:szCs w:val="24"/>
              </w:rPr>
              <w:t>Tomba 342 a cremazione</w:t>
            </w:r>
          </w:p>
          <w:p w14:paraId="572C7376" w14:textId="77777777" w:rsidR="00C330AF" w:rsidRPr="00AE6CE3" w:rsidRDefault="00335C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E6CE3">
              <w:rPr>
                <w:rFonts w:ascii="Titillium Web" w:hAnsi="Titillium Web"/>
                <w:i/>
                <w:iCs/>
                <w:szCs w:val="24"/>
              </w:rPr>
              <w:t>Rasente il bordo N. dello scavo, a m. 22 dallo scolo B, a m. 0,80 di profondità poggiava:</w:t>
            </w:r>
          </w:p>
          <w:p w14:paraId="5F56473D" w14:textId="77777777" w:rsidR="00C330AF" w:rsidRPr="00AE6CE3" w:rsidRDefault="00335C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E6CE3">
              <w:rPr>
                <w:rFonts w:ascii="Titillium Web" w:hAnsi="Titillium Web"/>
                <w:i/>
                <w:iCs/>
                <w:szCs w:val="24"/>
              </w:rPr>
              <w:t>1 anfora a puntale, intera, grezza, con due anse laterali sulla bocca, a Levante di essa presso il</w:t>
            </w:r>
          </w:p>
          <w:p w14:paraId="0BF7D30B" w14:textId="77777777" w:rsidR="00C330AF" w:rsidRPr="00AE6CE3" w:rsidRDefault="00335C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E6CE3">
              <w:rPr>
                <w:rFonts w:ascii="Titillium Web" w:hAnsi="Titillium Web"/>
                <w:i/>
                <w:iCs/>
                <w:szCs w:val="24"/>
              </w:rPr>
              <w:t>puntale erano deposte poche ossa combuste, e a Sud</w:t>
            </w:r>
          </w:p>
          <w:p w14:paraId="3D680558" w14:textId="77777777" w:rsidR="00C330AF" w:rsidRPr="00AE6CE3" w:rsidRDefault="00335C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E6CE3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AE6CE3">
              <w:rPr>
                <w:rFonts w:ascii="Titillium Web" w:hAnsi="Titillium Web"/>
                <w:i/>
                <w:iCs/>
                <w:szCs w:val="24"/>
              </w:rPr>
              <w:t>chiodo ?</w:t>
            </w:r>
            <w:proofErr w:type="gramEnd"/>
            <w:r w:rsidRPr="00AE6CE3">
              <w:rPr>
                <w:rFonts w:ascii="Titillium Web" w:hAnsi="Titillium Web"/>
                <w:i/>
                <w:iCs/>
                <w:szCs w:val="24"/>
              </w:rPr>
              <w:t xml:space="preserve"> Di ferro rotto in tre pezzi, a stelo quadrato.</w:t>
            </w:r>
          </w:p>
          <w:p w14:paraId="5AA1CB39" w14:textId="77777777" w:rsidR="00C330AF" w:rsidRPr="00AE6CE3" w:rsidRDefault="00335C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E6CE3">
              <w:rPr>
                <w:rFonts w:ascii="Titillium Web" w:hAnsi="Titillium Web"/>
                <w:i/>
                <w:iCs/>
                <w:szCs w:val="24"/>
              </w:rPr>
              <w:t>La sabbia qui appare a circa 20 cm (sotto l'humus.)</w:t>
            </w:r>
          </w:p>
        </w:tc>
      </w:tr>
      <w:tr w:rsidR="0086297F" w:rsidRPr="00AE6CE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AE6CE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E6CE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E6CE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E6C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E6CE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E6C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E6CE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BFE23C6" w14:textId="77777777" w:rsidR="00C330AF" w:rsidRPr="00AE6CE3" w:rsidRDefault="00335CD2" w:rsidP="00AE6CE3">
            <w:pPr>
              <w:jc w:val="center"/>
              <w:rPr>
                <w:rFonts w:ascii="Titillium Web" w:hAnsi="Titillium Web"/>
                <w:szCs w:val="24"/>
              </w:rPr>
            </w:pPr>
            <w:r w:rsidRPr="00AE6CE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E6CE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66CAC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E6CE3"/>
    <w:rsid w:val="00B165C4"/>
    <w:rsid w:val="00C21EE0"/>
    <w:rsid w:val="00C330A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2026-05-15T13:05:00Z</dcterms:modified>
</cp:coreProperties>
</file>