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1373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1373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1373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1373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1373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1373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1373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373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1373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AEA9086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Tomba 347 – a cremazione -</w:t>
            </w:r>
          </w:p>
          <w:p w14:paraId="73B75C0A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A m. 38 dallo scolo B, a m. 9,50 dal limite Nord e a m. 1,20 di profondità poggiava:</w:t>
            </w:r>
          </w:p>
          <w:p w14:paraId="5C52D308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1 dolietto ovoidale di argilla color cenere, di impasto grossolano e male cotto, completamente</w:t>
            </w:r>
          </w:p>
          <w:p w14:paraId="7076CD38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marcito. Non se ne raccolse neppure un frammento.</w:t>
            </w:r>
          </w:p>
          <w:p w14:paraId="18ABCC17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Era chiuso a modo di coperchio da</w:t>
            </w:r>
          </w:p>
          <w:p w14:paraId="11C153D1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1 ciotola di argilla comune, giallognola, di spessore piuttosto rilevante e ben cotta, è intera ed</w:t>
            </w:r>
          </w:p>
          <w:p w14:paraId="40B93B03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ha una sigla graffita all'esterno nel fondo, diametro della ciotola m. 0,30</w:t>
            </w:r>
          </w:p>
          <w:p w14:paraId="1D19C3E0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Entro al dolio, deposta sopra le ceneri, era:</w:t>
            </w:r>
          </w:p>
          <w:p w14:paraId="007C1D6E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1 piccola lekythos (mancante del beccuccio, a figure nere e graffite di disegno sconnettissimo,</w:t>
            </w:r>
          </w:p>
          <w:p w14:paraId="3481A927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indecifrabile)</w:t>
            </w:r>
          </w:p>
          <w:p w14:paraId="6D430CBE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è alta cent. 14.</w:t>
            </w:r>
          </w:p>
          <w:p w14:paraId="404CB69E" w14:textId="77777777" w:rsidR="001E6A1B" w:rsidRPr="00813733" w:rsidRDefault="00096A4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13733">
              <w:rPr>
                <w:rFonts w:ascii="Titillium Web" w:hAnsi="Titillium Web"/>
                <w:i/>
                <w:iCs/>
                <w:szCs w:val="24"/>
              </w:rPr>
              <w:t>(la sabbia appare a m. 0,50)</w:t>
            </w:r>
          </w:p>
        </w:tc>
      </w:tr>
      <w:tr w:rsidR="0086297F" w:rsidRPr="0081373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1373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373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373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1373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1373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1373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1373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A06A8AF" w14:textId="77777777" w:rsidR="001E6A1B" w:rsidRPr="00813733" w:rsidRDefault="00096A46" w:rsidP="00813733">
            <w:pPr>
              <w:jc w:val="center"/>
              <w:rPr>
                <w:rFonts w:ascii="Titillium Web" w:hAnsi="Titillium Web"/>
                <w:szCs w:val="24"/>
              </w:rPr>
            </w:pPr>
            <w:r w:rsidRPr="0081373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13733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813733">
              <w:rPr>
                <w:rFonts w:ascii="Titillium Web" w:eastAsia="Titillium" w:hAnsi="Titillium Web" w:cs="Titillium"/>
                <w:smallCaps/>
                <w:szCs w:val="24"/>
              </w:rPr>
              <w:t>Parrini</w:t>
            </w:r>
            <w:r w:rsidRPr="00813733">
              <w:rPr>
                <w:rFonts w:ascii="Titillium Web" w:eastAsia="Titillium" w:hAnsi="Titillium Web" w:cs="Titillium"/>
                <w:szCs w:val="24"/>
              </w:rPr>
              <w:t xml:space="preserve"> 2021, p. 294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6A1B"/>
    <w:rsid w:val="002977D7"/>
    <w:rsid w:val="00472AF4"/>
    <w:rsid w:val="00551AF8"/>
    <w:rsid w:val="005B5AFF"/>
    <w:rsid w:val="006162A4"/>
    <w:rsid w:val="006346F7"/>
    <w:rsid w:val="006D6EFB"/>
    <w:rsid w:val="007145BC"/>
    <w:rsid w:val="00813733"/>
    <w:rsid w:val="0086297F"/>
    <w:rsid w:val="009E4922"/>
    <w:rsid w:val="00AB321D"/>
    <w:rsid w:val="00AF43D7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2026-05-15T13:02:00Z</dcterms:modified>
</cp:coreProperties>
</file>