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1F82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350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86566" w14:paraId="4A01703D" w14:textId="77777777" w:rsidTr="002665C6">
        <w:trPr>
          <w:jc w:val="center"/>
        </w:trPr>
        <w:tc>
          <w:tcPr>
            <w:tcW w:w="1650" w:type="pct"/>
            <w:vAlign w:val="center"/>
          </w:tcPr>
          <w:p w14:paraId="6D5182DC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656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6B161A72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6566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E86566" w14:paraId="12A6FC51" w14:textId="77777777" w:rsidTr="002665C6">
        <w:trPr>
          <w:jc w:val="center"/>
        </w:trPr>
        <w:tc>
          <w:tcPr>
            <w:tcW w:w="1650" w:type="pct"/>
            <w:vAlign w:val="center"/>
          </w:tcPr>
          <w:p w14:paraId="343BB27F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656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713B7FE9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656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86566" w14:paraId="36A22348" w14:textId="77777777" w:rsidTr="002665C6">
        <w:trPr>
          <w:jc w:val="center"/>
        </w:trPr>
        <w:tc>
          <w:tcPr>
            <w:tcW w:w="1650" w:type="pct"/>
            <w:vAlign w:val="center"/>
          </w:tcPr>
          <w:p w14:paraId="2B2A6DD8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656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5C4B6B6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656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86566" w14:paraId="1E8F5134" w14:textId="77777777" w:rsidTr="002665C6">
        <w:trPr>
          <w:jc w:val="center"/>
        </w:trPr>
        <w:tc>
          <w:tcPr>
            <w:tcW w:w="1650" w:type="pct"/>
            <w:vAlign w:val="center"/>
          </w:tcPr>
          <w:p w14:paraId="05305FB8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656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2BD4D22A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656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86566" w14:paraId="176FEE56" w14:textId="77777777" w:rsidTr="002665C6">
        <w:trPr>
          <w:jc w:val="center"/>
        </w:trPr>
        <w:tc>
          <w:tcPr>
            <w:tcW w:w="1650" w:type="pct"/>
            <w:vAlign w:val="center"/>
          </w:tcPr>
          <w:p w14:paraId="7B2AF75A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656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3A603221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6566">
              <w:rPr>
                <w:rFonts w:ascii="Titillium Web" w:hAnsi="Titillium Web"/>
                <w:szCs w:val="24"/>
              </w:rPr>
              <w:t>1,08 m</w:t>
            </w:r>
          </w:p>
        </w:tc>
      </w:tr>
      <w:tr w:rsidR="0086297F" w:rsidRPr="00E86566" w14:paraId="07575478" w14:textId="77777777" w:rsidTr="002665C6">
        <w:trPr>
          <w:jc w:val="center"/>
        </w:trPr>
        <w:tc>
          <w:tcPr>
            <w:tcW w:w="1650" w:type="pct"/>
            <w:vAlign w:val="center"/>
          </w:tcPr>
          <w:p w14:paraId="3C17249F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656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5EE4B742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656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86566" w14:paraId="00873A82" w14:textId="77777777" w:rsidTr="002665C6">
        <w:trPr>
          <w:jc w:val="center"/>
        </w:trPr>
        <w:tc>
          <w:tcPr>
            <w:tcW w:w="1650" w:type="pct"/>
            <w:vAlign w:val="center"/>
          </w:tcPr>
          <w:p w14:paraId="3C502BE0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656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AB017A0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6566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E86566" w14:paraId="3AFF691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EDC377C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656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41497AF9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656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86566" w14:paraId="0BF05C3F" w14:textId="77777777" w:rsidTr="002665C6">
        <w:trPr>
          <w:jc w:val="center"/>
        </w:trPr>
        <w:tc>
          <w:tcPr>
            <w:tcW w:w="1650" w:type="pct"/>
            <w:vAlign w:val="center"/>
          </w:tcPr>
          <w:p w14:paraId="73706263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656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97B5C89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>Tomba 350 umata</w:t>
            </w:r>
          </w:p>
          <w:p w14:paraId="4C99D540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Ho tracciato una linea perpendicolare al B da </w:t>
            </w:r>
            <w:proofErr w:type="spellStart"/>
            <w:r w:rsidRPr="00E86566">
              <w:rPr>
                <w:rFonts w:ascii="Titillium Web" w:hAnsi="Titillium Web"/>
                <w:i/>
                <w:iCs/>
                <w:szCs w:val="24"/>
              </w:rPr>
              <w:t>Pon</w:t>
            </w:r>
            <w:proofErr w:type="spellEnd"/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. a lev. avente per base il canalino B. Il punto d'incrocio è a m. 296 dal </w:t>
            </w:r>
            <w:proofErr w:type="spellStart"/>
            <w:proofErr w:type="gramStart"/>
            <w:r w:rsidRPr="00E86566">
              <w:rPr>
                <w:rFonts w:ascii="Titillium Web" w:hAnsi="Titillium Web"/>
                <w:i/>
                <w:iCs/>
                <w:szCs w:val="24"/>
              </w:rPr>
              <w:t>C.le</w:t>
            </w:r>
            <w:proofErr w:type="spellEnd"/>
            <w:proofErr w:type="gramEnd"/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 Donna Bianca.</w:t>
            </w:r>
          </w:p>
          <w:p w14:paraId="4496DE27" w14:textId="77777777" w:rsidR="00C001BD" w:rsidRPr="00E86566" w:rsidRDefault="00C001BD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6AD55934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>Sulla nuova linea, a m. 19 dallo scolo B, e a m. 1,08 di profondità poggiava:</w:t>
            </w:r>
          </w:p>
          <w:p w14:paraId="15CC1455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>1 scheletro orientato da N.N.O. a S.S.E.</w:t>
            </w:r>
          </w:p>
          <w:p w14:paraId="5134BED8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>La sabbia appare a m. 0,80 e disopra a terreno alluvionale.</w:t>
            </w:r>
          </w:p>
          <w:p w14:paraId="6F8A469F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>Lo scheletro aveva nella destra</w:t>
            </w:r>
          </w:p>
          <w:p w14:paraId="26C44005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>1 frammento informe di bronzo od argento?</w:t>
            </w:r>
          </w:p>
          <w:p w14:paraId="51D8B5D7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>presso la testa aveva: (dalla parte destra)</w:t>
            </w:r>
          </w:p>
          <w:p w14:paraId="01C4D186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>1 alabastron (di alabastron) in minuti frammenti e li presso era:</w:t>
            </w:r>
          </w:p>
          <w:p w14:paraId="76A6C20A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>1 kelebe a colonnette, intera, a fig. rosse, di disegno discreto, coperta da concrezioni calcaree</w:t>
            </w:r>
          </w:p>
          <w:p w14:paraId="766EFAF5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>nelle figure -</w:t>
            </w:r>
          </w:p>
          <w:p w14:paraId="1A9E8D8E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lato A -: in mezzo alla scena un giovane ignudo con manto sulle spalle e l'asta nella </w:t>
            </w:r>
            <w:proofErr w:type="spellStart"/>
            <w:r w:rsidRPr="00E86566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E86566">
              <w:rPr>
                <w:rFonts w:ascii="Titillium Web" w:hAnsi="Titillium Web"/>
                <w:i/>
                <w:iCs/>
                <w:szCs w:val="24"/>
              </w:rPr>
              <w:t>., ha i capelli inanellati che gli scendono sulle guance.</w:t>
            </w:r>
          </w:p>
          <w:p w14:paraId="4FA94080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Ai lati, due figure femminili; quella di destra ha lo scudo rotondo con serpe nella </w:t>
            </w:r>
            <w:proofErr w:type="spellStart"/>
            <w:r w:rsidRPr="00E86566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E86566">
              <w:rPr>
                <w:rFonts w:ascii="Titillium Web" w:hAnsi="Titillium Web"/>
                <w:i/>
                <w:iCs/>
                <w:szCs w:val="24"/>
              </w:rPr>
              <w:t>.; la figura di sinistra ha le mani alzate come in atto di meraviglia.</w:t>
            </w:r>
          </w:p>
          <w:p w14:paraId="2B1C4605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>nel rovescio:</w:t>
            </w:r>
          </w:p>
          <w:p w14:paraId="76B6E749" w14:textId="77777777" w:rsidR="00C001BD" w:rsidRPr="00E86566" w:rsidRDefault="00C001BD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61D3C192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Presso la spalla </w:t>
            </w:r>
            <w:proofErr w:type="spellStart"/>
            <w:r w:rsidRPr="00E86566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E86566">
              <w:rPr>
                <w:rFonts w:ascii="Titillium Web" w:hAnsi="Titillium Web"/>
                <w:i/>
                <w:iCs/>
                <w:szCs w:val="24"/>
              </w:rPr>
              <w:t>. aveva:</w:t>
            </w:r>
          </w:p>
          <w:p w14:paraId="13B5E72B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1 </w:t>
            </w:r>
            <w:proofErr w:type="spellStart"/>
            <w:r w:rsidRPr="00E86566">
              <w:rPr>
                <w:rFonts w:ascii="Titillium Web" w:hAnsi="Titillium Web"/>
                <w:i/>
                <w:iCs/>
                <w:szCs w:val="24"/>
              </w:rPr>
              <w:t>bambilias</w:t>
            </w:r>
            <w:proofErr w:type="spellEnd"/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 di vetro variegato, frammentato.</w:t>
            </w:r>
          </w:p>
          <w:p w14:paraId="44720A07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>1 anellino di bronzo.</w:t>
            </w:r>
          </w:p>
          <w:p w14:paraId="65F78B3A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>presso la destra:</w:t>
            </w:r>
          </w:p>
          <w:p w14:paraId="64A5245B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1 tazza grande, a </w:t>
            </w:r>
            <w:proofErr w:type="spellStart"/>
            <w:r w:rsidRPr="00E86566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E86566">
              <w:rPr>
                <w:rFonts w:ascii="Titillium Web" w:hAnsi="Titillium Web"/>
                <w:i/>
                <w:iCs/>
                <w:szCs w:val="24"/>
              </w:rPr>
              <w:t>. nera, con piede alto, intera, - entro la tazza erano ossa (costole di montone o capretto?)</w:t>
            </w:r>
          </w:p>
          <w:p w14:paraId="2E70B3AA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La tazza ha inciso a graffito nel </w:t>
            </w:r>
            <w:proofErr w:type="spellStart"/>
            <w:r w:rsidRPr="00E86566">
              <w:rPr>
                <w:rFonts w:ascii="Titillium Web" w:hAnsi="Titillium Web"/>
                <w:i/>
                <w:iCs/>
                <w:szCs w:val="24"/>
              </w:rPr>
              <w:t>pieduccio</w:t>
            </w:r>
            <w:proofErr w:type="spellEnd"/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 due lettere</w:t>
            </w:r>
          </w:p>
          <w:p w14:paraId="34A95D38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spellStart"/>
            <w:r w:rsidRPr="00E86566">
              <w:rPr>
                <w:rFonts w:ascii="Titillium Web" w:hAnsi="Titillium Web"/>
                <w:i/>
                <w:iCs/>
                <w:szCs w:val="24"/>
              </w:rPr>
              <w:t>li</w:t>
            </w:r>
            <w:proofErr w:type="spellEnd"/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 presso era:</w:t>
            </w:r>
          </w:p>
          <w:p w14:paraId="606A0CBA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E86566">
              <w:rPr>
                <w:rFonts w:ascii="Titillium Web" w:hAnsi="Titillium Web"/>
                <w:i/>
                <w:iCs/>
                <w:szCs w:val="24"/>
              </w:rPr>
              <w:t>oinocoe</w:t>
            </w:r>
            <w:proofErr w:type="spellEnd"/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 a bocca trilobata, con l'ansa staccata a figure nere ed incise (grafite) la vernice nera</w:t>
            </w:r>
          </w:p>
          <w:p w14:paraId="5F771E2D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è talmente sbiadita da confonderla facilmente con il fondo scuro dell'argilla bagnata. Due </w:t>
            </w:r>
            <w:proofErr w:type="spellStart"/>
            <w:r w:rsidRPr="00E86566">
              <w:rPr>
                <w:rFonts w:ascii="Titillium Web" w:hAnsi="Titillium Web"/>
                <w:i/>
                <w:iCs/>
                <w:szCs w:val="24"/>
              </w:rPr>
              <w:t>genii</w:t>
            </w:r>
            <w:proofErr w:type="spellEnd"/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 a destra e a sinistra di un'ara. Sull'ara è dipinta a colore rosso la fiamma. Il genio di </w:t>
            </w:r>
            <w:proofErr w:type="spellStart"/>
            <w:r w:rsidRPr="00E86566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. è femminile, con ali; e regge al disopra dell'ara, come offerta, una colomba. </w:t>
            </w:r>
            <w:proofErr w:type="gramStart"/>
            <w:r w:rsidRPr="00E86566">
              <w:rPr>
                <w:rFonts w:ascii="Titillium Web" w:hAnsi="Titillium Web"/>
                <w:i/>
                <w:iCs/>
                <w:szCs w:val="24"/>
              </w:rPr>
              <w:t>Il genio di destra,</w:t>
            </w:r>
            <w:proofErr w:type="gramEnd"/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 è un eros (maschile) e non si capisce bene che cosa rechi in mano.</w:t>
            </w:r>
          </w:p>
          <w:p w14:paraId="77CD7FAF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>Disegno strapazzato.</w:t>
            </w:r>
          </w:p>
          <w:p w14:paraId="21A84686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>1 kylix a ver. nera, con piede alto, in frammenti.</w:t>
            </w:r>
          </w:p>
          <w:p w14:paraId="4FA65686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1 piatto a </w:t>
            </w:r>
            <w:proofErr w:type="spellStart"/>
            <w:r w:rsidRPr="00E86566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E86566">
              <w:rPr>
                <w:rFonts w:ascii="Titillium Web" w:hAnsi="Titillium Web"/>
                <w:i/>
                <w:iCs/>
                <w:szCs w:val="24"/>
              </w:rPr>
              <w:t>. nera, con l'orlo risparmiato, in rosso (colore dell'argilla) con piede alto;</w:t>
            </w:r>
          </w:p>
          <w:p w14:paraId="3B523656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>è in frammenti.</w:t>
            </w:r>
          </w:p>
          <w:p w14:paraId="5BFB4B0C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8656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 tazzette a </w:t>
            </w:r>
            <w:proofErr w:type="spellStart"/>
            <w:r w:rsidRPr="00E86566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. nera, con piede alto, </w:t>
            </w:r>
            <w:proofErr w:type="spellStart"/>
            <w:r w:rsidRPr="00E86566">
              <w:rPr>
                <w:rFonts w:ascii="Titillium Web" w:hAnsi="Titillium Web"/>
                <w:i/>
                <w:iCs/>
                <w:szCs w:val="24"/>
              </w:rPr>
              <w:t>liscie</w:t>
            </w:r>
            <w:proofErr w:type="spellEnd"/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 ed in frammenti (una ha sul fondello le seguenti lettere grafite: [ndr. disegno delle lettere graffite]</w:t>
            </w:r>
          </w:p>
          <w:p w14:paraId="527AE1FA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1 reggi-vaso a </w:t>
            </w:r>
            <w:proofErr w:type="spellStart"/>
            <w:r w:rsidRPr="00E86566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E86566">
              <w:rPr>
                <w:rFonts w:ascii="Titillium Web" w:hAnsi="Titillium Web"/>
                <w:i/>
                <w:iCs/>
                <w:szCs w:val="24"/>
              </w:rPr>
              <w:t>. nera, intero.</w:t>
            </w:r>
          </w:p>
          <w:p w14:paraId="4F3C0CC2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1 piccola scodellina, a </w:t>
            </w:r>
            <w:proofErr w:type="spellStart"/>
            <w:r w:rsidRPr="00E86566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E86566">
              <w:rPr>
                <w:rFonts w:ascii="Titillium Web" w:hAnsi="Titillium Web"/>
                <w:i/>
                <w:iCs/>
                <w:szCs w:val="24"/>
              </w:rPr>
              <w:t>. nera, intera con entro qualche ossicino (pasto?)</w:t>
            </w:r>
          </w:p>
          <w:p w14:paraId="4DC25F9E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>1 piatto ad alto piede, di argilla grezza,</w:t>
            </w:r>
          </w:p>
          <w:p w14:paraId="34DB14E1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86566">
              <w:rPr>
                <w:rFonts w:ascii="Titillium Web" w:hAnsi="Titillium Web"/>
                <w:i/>
                <w:iCs/>
                <w:szCs w:val="24"/>
              </w:rPr>
              <w:t>comune, intero, con sigla grafita nel piede.</w:t>
            </w:r>
          </w:p>
          <w:p w14:paraId="53BCC578" w14:textId="77777777" w:rsidR="00C001BD" w:rsidRPr="00E86566" w:rsidRDefault="007A62C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8656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86566">
              <w:rPr>
                <w:rFonts w:ascii="Titillium Web" w:hAnsi="Titillium Web"/>
                <w:i/>
                <w:iCs/>
                <w:szCs w:val="24"/>
              </w:rPr>
              <w:t xml:space="preserve"> piattelli apodi, di argilla comune, grezzi e lisci.</w:t>
            </w:r>
          </w:p>
        </w:tc>
      </w:tr>
      <w:tr w:rsidR="0086297F" w:rsidRPr="00E86566" w14:paraId="42D85831" w14:textId="77777777" w:rsidTr="002665C6">
        <w:trPr>
          <w:jc w:val="center"/>
        </w:trPr>
        <w:tc>
          <w:tcPr>
            <w:tcW w:w="1650" w:type="pct"/>
            <w:vAlign w:val="center"/>
          </w:tcPr>
          <w:p w14:paraId="1F0F9396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656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39DABE6" w14:textId="2AE914DF" w:rsidR="0086297F" w:rsidRPr="00E86566" w:rsidRDefault="00AC05A2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6566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E86566" w14:paraId="722C2414" w14:textId="77777777" w:rsidTr="002665C6">
        <w:trPr>
          <w:jc w:val="center"/>
        </w:trPr>
        <w:tc>
          <w:tcPr>
            <w:tcW w:w="1650" w:type="pct"/>
            <w:vAlign w:val="center"/>
          </w:tcPr>
          <w:p w14:paraId="00BC2E24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656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4E42C27D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656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86566" w14:paraId="0BAAC95D" w14:textId="77777777" w:rsidTr="002665C6">
        <w:trPr>
          <w:jc w:val="center"/>
        </w:trPr>
        <w:tc>
          <w:tcPr>
            <w:tcW w:w="1650" w:type="pct"/>
            <w:vAlign w:val="center"/>
          </w:tcPr>
          <w:p w14:paraId="2271036F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656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49D9004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8656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86566" w14:paraId="7F0C047C" w14:textId="77777777" w:rsidTr="002665C6">
        <w:trPr>
          <w:jc w:val="center"/>
        </w:trPr>
        <w:tc>
          <w:tcPr>
            <w:tcW w:w="1650" w:type="pct"/>
            <w:vAlign w:val="center"/>
          </w:tcPr>
          <w:p w14:paraId="31FBBB72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656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2152C2E8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E86566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E86566" w14:paraId="39B4D715" w14:textId="77777777" w:rsidTr="002665C6">
        <w:trPr>
          <w:jc w:val="center"/>
        </w:trPr>
        <w:tc>
          <w:tcPr>
            <w:tcW w:w="1650" w:type="pct"/>
            <w:vAlign w:val="center"/>
          </w:tcPr>
          <w:p w14:paraId="0B1510D2" w14:textId="77777777" w:rsidR="0086297F" w:rsidRPr="00E8656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8656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23300DC" w14:textId="77777777" w:rsidR="00C001BD" w:rsidRPr="00E86566" w:rsidRDefault="007A62C8" w:rsidP="00AD141A">
            <w:pPr>
              <w:jc w:val="center"/>
              <w:rPr>
                <w:rFonts w:ascii="Titillium Web" w:hAnsi="Titillium Web"/>
                <w:szCs w:val="24"/>
              </w:rPr>
            </w:pPr>
            <w:r w:rsidRPr="00AD141A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E86566">
              <w:rPr>
                <w:rFonts w:ascii="Titillium Web" w:eastAsia="Titillium" w:hAnsi="Titillium Web" w:cs="Titillium"/>
                <w:szCs w:val="24"/>
              </w:rPr>
              <w:t xml:space="preserve"> 1927, pp. 170-171; </w:t>
            </w:r>
            <w:r w:rsidRPr="00AD141A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E86566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AD141A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86566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69AC0E54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0696D"/>
    <w:rsid w:val="00551AF8"/>
    <w:rsid w:val="005B5AFF"/>
    <w:rsid w:val="006162A4"/>
    <w:rsid w:val="006346F7"/>
    <w:rsid w:val="006D6EFB"/>
    <w:rsid w:val="007145BC"/>
    <w:rsid w:val="007F0CF5"/>
    <w:rsid w:val="0086297F"/>
    <w:rsid w:val="009E4922"/>
    <w:rsid w:val="00AB321D"/>
    <w:rsid w:val="00AC05A2"/>
    <w:rsid w:val="00AD141A"/>
    <w:rsid w:val="00B165C4"/>
    <w:rsid w:val="00C001BD"/>
    <w:rsid w:val="00C21EE0"/>
    <w:rsid w:val="00D900AB"/>
    <w:rsid w:val="00D936E8"/>
    <w:rsid w:val="00E24633"/>
    <w:rsid w:val="00E8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3E8E4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10</cp:revision>
  <dcterms:created xsi:type="dcterms:W3CDTF">2026-04-30T12:42:00Z</dcterms:created>
  <dcterms:modified xsi:type="dcterms:W3CDTF">2026-05-15T13:00:00Z</dcterms:modified>
</cp:coreProperties>
</file>