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2061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86E0C" w14:paraId="7BA5ADAE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1ACFF9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2A98024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386E0C" w14:paraId="26B27F8E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04ECCA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DFCCF89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386E0C" w14:paraId="4993F9AB" w14:textId="77777777" w:rsidTr="002665C6">
        <w:trPr>
          <w:jc w:val="center"/>
        </w:trPr>
        <w:tc>
          <w:tcPr>
            <w:tcW w:w="1650" w:type="pct"/>
            <w:vAlign w:val="center"/>
          </w:tcPr>
          <w:p w14:paraId="28D43AB0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70DC2C14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386E0C" w14:paraId="658DC9F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CDDFF72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B9D8896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86E0C" w14:paraId="09AAC00F" w14:textId="77777777" w:rsidTr="002665C6">
        <w:trPr>
          <w:jc w:val="center"/>
        </w:trPr>
        <w:tc>
          <w:tcPr>
            <w:tcW w:w="1650" w:type="pct"/>
            <w:vAlign w:val="center"/>
          </w:tcPr>
          <w:p w14:paraId="0B8A0318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48A55495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0,99 m</w:t>
            </w:r>
          </w:p>
        </w:tc>
      </w:tr>
      <w:tr w:rsidR="0086297F" w:rsidRPr="00386E0C" w14:paraId="1CFF5BA4" w14:textId="77777777" w:rsidTr="002665C6">
        <w:trPr>
          <w:jc w:val="center"/>
        </w:trPr>
        <w:tc>
          <w:tcPr>
            <w:tcW w:w="1650" w:type="pct"/>
            <w:vAlign w:val="center"/>
          </w:tcPr>
          <w:p w14:paraId="7696B073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DFC240A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86E0C" w14:paraId="4A7956B4" w14:textId="77777777" w:rsidTr="002665C6">
        <w:trPr>
          <w:jc w:val="center"/>
        </w:trPr>
        <w:tc>
          <w:tcPr>
            <w:tcW w:w="1650" w:type="pct"/>
            <w:vAlign w:val="center"/>
          </w:tcPr>
          <w:p w14:paraId="0B6B6B69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330463E7" w14:textId="2D4F0894" w:rsidR="0086297F" w:rsidRPr="00386E0C" w:rsidRDefault="00386E0C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86E0C" w14:paraId="6849644D" w14:textId="77777777" w:rsidTr="002665C6">
        <w:trPr>
          <w:jc w:val="center"/>
        </w:trPr>
        <w:tc>
          <w:tcPr>
            <w:tcW w:w="1650" w:type="pct"/>
            <w:vAlign w:val="center"/>
          </w:tcPr>
          <w:p w14:paraId="2C0023AA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C64F64B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86E0C" w14:paraId="482B445A" w14:textId="77777777" w:rsidTr="002665C6">
        <w:trPr>
          <w:jc w:val="center"/>
        </w:trPr>
        <w:tc>
          <w:tcPr>
            <w:tcW w:w="1650" w:type="pct"/>
            <w:vAlign w:val="center"/>
          </w:tcPr>
          <w:p w14:paraId="6299BBA2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36C4D01" w14:textId="4C08F3A6" w:rsidR="00576749" w:rsidRPr="00386E0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6E0C">
              <w:rPr>
                <w:rFonts w:ascii="Titillium Web" w:hAnsi="Titillium Web"/>
                <w:i/>
                <w:iCs/>
                <w:szCs w:val="24"/>
              </w:rPr>
              <w:t>A m. 110 dallo scolo B, a m. 150 dal Donna Bianca, frammezzo a molte buche di scavo abusivo - a m. 0,99 di profondità si rinvengono un gruppo di vasetti sepolti nella sabbia alluvionale.</w:t>
            </w:r>
          </w:p>
          <w:p w14:paraId="2CD2F755" w14:textId="77777777" w:rsidR="00576749" w:rsidRPr="00386E0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6E0C">
              <w:rPr>
                <w:rFonts w:ascii="Titillium Web" w:hAnsi="Titillium Web"/>
                <w:i/>
                <w:iCs/>
                <w:szCs w:val="24"/>
              </w:rPr>
              <w:t>2 skyfos piccoli a vern. nera scadente, dei quali uno frammentato.</w:t>
            </w:r>
          </w:p>
          <w:p w14:paraId="346734CC" w14:textId="77777777" w:rsidR="00576749" w:rsidRPr="00386E0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6E0C">
              <w:rPr>
                <w:rFonts w:ascii="Titillium Web" w:hAnsi="Titillium Web"/>
                <w:i/>
                <w:iCs/>
                <w:szCs w:val="24"/>
              </w:rPr>
              <w:t>1 piccolo oinocoe a vern. nera sbiadita, mancante dell’ansa e con i lobi della bocca rotti. Liscio.</w:t>
            </w:r>
          </w:p>
          <w:p w14:paraId="7661436F" w14:textId="77777777" w:rsidR="00576749" w:rsidRPr="00386E0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86E0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86E0C">
              <w:rPr>
                <w:rFonts w:ascii="Titillium Web" w:hAnsi="Titillium Web"/>
                <w:i/>
                <w:iCs/>
                <w:szCs w:val="24"/>
              </w:rPr>
              <w:t xml:space="preserve"> tazzine a vern nera scadente (una rotta).</w:t>
            </w:r>
          </w:p>
          <w:p w14:paraId="0C64E48D" w14:textId="77777777" w:rsidR="00576749" w:rsidRPr="00386E0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86E0C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386E0C">
              <w:rPr>
                <w:rFonts w:ascii="Titillium Web" w:hAnsi="Titillium Web"/>
                <w:i/>
                <w:iCs/>
                <w:szCs w:val="24"/>
              </w:rPr>
              <w:t xml:space="preserve"> piattelli piccoli a vern. nera scadente (uno rotto)</w:t>
            </w:r>
          </w:p>
          <w:p w14:paraId="15A0A601" w14:textId="77777777" w:rsidR="00576749" w:rsidRPr="00386E0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6E0C">
              <w:rPr>
                <w:rFonts w:ascii="Titillium Web" w:hAnsi="Titillium Web"/>
                <w:i/>
                <w:iCs/>
                <w:szCs w:val="24"/>
              </w:rPr>
              <w:t>(Questa tomba senza scheletro e senza ceneri) è sepolta in terreno alluvionale; e certamente</w:t>
            </w:r>
          </w:p>
          <w:p w14:paraId="4F0D315B" w14:textId="77777777" w:rsidR="00576749" w:rsidRPr="00386E0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6E0C">
              <w:rPr>
                <w:rFonts w:ascii="Titillium Web" w:hAnsi="Titillium Web"/>
                <w:i/>
                <w:iCs/>
                <w:szCs w:val="24"/>
              </w:rPr>
              <w:t>più profondo si deve trovare la sabbia pura con un secondo strato di tombe-)</w:t>
            </w:r>
          </w:p>
        </w:tc>
      </w:tr>
      <w:tr w:rsidR="0086297F" w:rsidRPr="00386E0C" w14:paraId="4D442E16" w14:textId="77777777" w:rsidTr="002665C6">
        <w:trPr>
          <w:jc w:val="center"/>
        </w:trPr>
        <w:tc>
          <w:tcPr>
            <w:tcW w:w="1650" w:type="pct"/>
            <w:vAlign w:val="center"/>
          </w:tcPr>
          <w:p w14:paraId="3EEA17CC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59FC48D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386E0C" w14:paraId="7C969446" w14:textId="77777777" w:rsidTr="002665C6">
        <w:trPr>
          <w:jc w:val="center"/>
        </w:trPr>
        <w:tc>
          <w:tcPr>
            <w:tcW w:w="1650" w:type="pct"/>
            <w:vAlign w:val="center"/>
          </w:tcPr>
          <w:p w14:paraId="4BA8EC2A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2A78EFDC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6E0C" w14:paraId="11009E8B" w14:textId="77777777" w:rsidTr="002665C6">
        <w:trPr>
          <w:jc w:val="center"/>
        </w:trPr>
        <w:tc>
          <w:tcPr>
            <w:tcW w:w="1650" w:type="pct"/>
            <w:vAlign w:val="center"/>
          </w:tcPr>
          <w:p w14:paraId="37C33AF7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7B9E12F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6E0C" w14:paraId="01231C0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FCF057F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412D286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6E0C" w14:paraId="4C5D3C9C" w14:textId="77777777" w:rsidTr="002665C6">
        <w:trPr>
          <w:jc w:val="center"/>
        </w:trPr>
        <w:tc>
          <w:tcPr>
            <w:tcW w:w="1650" w:type="pct"/>
            <w:vAlign w:val="center"/>
          </w:tcPr>
          <w:p w14:paraId="3AF7C922" w14:textId="77777777" w:rsidR="0086297F" w:rsidRPr="00386E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6E0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EEBEFD9" w14:textId="77777777" w:rsidR="00576749" w:rsidRPr="00386E0C" w:rsidRDefault="00000000" w:rsidP="00386E0C">
            <w:pPr>
              <w:jc w:val="center"/>
              <w:rPr>
                <w:rFonts w:ascii="Titillium Web" w:hAnsi="Titillium Web"/>
                <w:szCs w:val="24"/>
              </w:rPr>
            </w:pPr>
            <w:r w:rsidRPr="00386E0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86E0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2FEB1247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86E0C"/>
    <w:rsid w:val="00472AF4"/>
    <w:rsid w:val="00551AF8"/>
    <w:rsid w:val="00576749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F69E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76995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2026-05-15T11:02:00Z</dcterms:modified>
</cp:coreProperties>
</file>