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BD514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BD514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BD514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BD514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BD514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0,40 m</w:t>
            </w:r>
          </w:p>
        </w:tc>
      </w:tr>
      <w:tr w:rsidR="001B5504" w:rsidRPr="00BD514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BD514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D510585" w:rsidR="001B5504" w:rsidRPr="00BD5146" w:rsidRDefault="006B19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D514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84D9184" w:rsidR="001B5504" w:rsidRPr="00BD5146" w:rsidRDefault="006B190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BD514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BD514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07236773" w:rsidR="001B5504" w:rsidRPr="00BD5146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BD5146">
              <w:rPr>
                <w:rFonts w:ascii="Titillium Web" w:hAnsi="Titillium Web"/>
                <w:i/>
                <w:iCs/>
                <w:szCs w:val="24"/>
              </w:rPr>
              <w:t>18 maggio -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Proseguendo lo scavo nella parte sud del dosso, il quale sta per terminare, si rinvengono ancora avanzi di tombe saccheggiate.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Tomba 36 a cremazione (saccheggiata)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A m. 52 dalle 0-00, sul margine del dosso, a ponente, coperto da 15 centim. circa di strato alluvionale, alla profo.tà di m. 0,40, appare una tomba saccheggiata.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Come di solito i cocci dei vasi rotti sono coperti da uno strato di terra nero-bruna e da gran parte di residui di materiale legnoso imputridito (nelle tombe saccheggiate in antico) o sui quali più tardi si è depositato di terreno giallo alluvionale.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Cocci di un grosso dolio, di terra rossastra, liscio e grezzo fram.ti di uno skyphos piuttosto grande, a grosse pareti a v.n. fram.ti di una brocca di terra giallo chiara e ben cotta (etrusca?)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1 tazza a vern. nera, liscia e intera (a basso piede).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1 piattello a vern. n., ad alto piede: in frammenti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frammenti di altri vasetti a vern. n. e rossa locale. parte superiore di un balsamario (alabastron) di vetro con decorazioni di zig-zag. – La pasta vitrea è di color rosso mattone e le decorazioni filettate</w:t>
            </w:r>
            <w:r w:rsidRPr="00BD5146">
              <w:rPr>
                <w:rFonts w:ascii="Titillium Web" w:hAnsi="Titillium Web"/>
                <w:i/>
                <w:iCs/>
                <w:szCs w:val="24"/>
              </w:rPr>
              <w:br/>
              <w:t>son gialle sull’orlo della bocca e sulla superficie (corpo?) a bianco e giallo alternati -</w:t>
            </w:r>
          </w:p>
        </w:tc>
      </w:tr>
      <w:tr w:rsidR="001B5504" w:rsidRPr="00BD514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1C3A30C9" w14:textId="56B720E6" w:rsidR="001B5504" w:rsidRPr="00BD5146" w:rsidRDefault="00D35C95" w:rsidP="00BD5146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BD5146">
              <w:rPr>
                <w:rFonts w:ascii="Titillium Web" w:hAnsi="Titillium Web" w:cs="Times New Roman"/>
                <w:szCs w:val="24"/>
              </w:rPr>
              <w:t>Al momento dello scavo, si osservavano tracce di saccheggio di epoca antica</w:t>
            </w:r>
            <w:r w:rsidR="00491652" w:rsidRPr="00BD5146">
              <w:rPr>
                <w:rFonts w:ascii="Titillium Web" w:hAnsi="Titillium Web" w:cs="Times New Roman"/>
                <w:szCs w:val="24"/>
              </w:rPr>
              <w:t xml:space="preserve">. </w:t>
            </w:r>
            <w:r w:rsidRPr="00BD5146">
              <w:rPr>
                <w:rFonts w:ascii="Titillium Web" w:hAnsi="Titillium Web" w:cs="Times New Roman"/>
                <w:szCs w:val="24"/>
              </w:rPr>
              <w:t xml:space="preserve">Fra gli oggetti recuperati, figurano il cinerario in ceramica grezza locale (n. 1), un </w:t>
            </w:r>
            <w:proofErr w:type="spellStart"/>
            <w:r w:rsidRPr="00BD5146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proofErr w:type="spellEnd"/>
            <w:r w:rsidRPr="00BD5146">
              <w:rPr>
                <w:rFonts w:ascii="Titillium Web" w:hAnsi="Titillium Web" w:cs="Times New Roman"/>
                <w:szCs w:val="24"/>
              </w:rPr>
              <w:t xml:space="preserve"> alto-adriatico, andato perduto (n. 2*), vasi a v.n. locale (nn. 3-6) ed un </w:t>
            </w:r>
            <w:r w:rsidRPr="00BD5146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BD5146">
              <w:rPr>
                <w:rFonts w:ascii="Titillium Web" w:hAnsi="Titillium Web" w:cs="Times New Roman"/>
                <w:szCs w:val="24"/>
              </w:rPr>
              <w:t xml:space="preserve"> in pasta vitrea (n. 7). Rimane incerto quale dei due piatti da pesce su alto piede sia pertinente alla sepoltura (nn. 5-6).</w:t>
            </w:r>
          </w:p>
          <w:p w14:paraId="3D7F9F14" w14:textId="28391A62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1. </w:t>
            </w:r>
            <w:r w:rsidRPr="00BD5146">
              <w:rPr>
                <w:rFonts w:ascii="Titillium Web" w:hAnsi="Titillium Web"/>
                <w:szCs w:val="24"/>
              </w:rPr>
              <w:t>Olla di produzione locale (IG 16094; ceramica grezza)</w:t>
            </w:r>
          </w:p>
          <w:p w14:paraId="64069775" w14:textId="1B4F6714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2*. </w:t>
            </w:r>
            <w:r w:rsidRPr="00BD5146">
              <w:rPr>
                <w:rFonts w:ascii="Titillium Web" w:hAnsi="Titillium Web"/>
                <w:szCs w:val="24"/>
              </w:rPr>
              <w:t>Chous alto-adriatico</w:t>
            </w:r>
          </w:p>
          <w:p w14:paraId="6BED517F" w14:textId="281E7D5A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3. </w:t>
            </w:r>
            <w:r w:rsidRPr="00BD5146">
              <w:rPr>
                <w:rFonts w:ascii="Titillium Web" w:hAnsi="Titillium Web"/>
                <w:szCs w:val="24"/>
              </w:rPr>
              <w:t>Skyphos di produzione locale (IG 711; vernice nera)</w:t>
            </w:r>
          </w:p>
          <w:p w14:paraId="0A5C67DB" w14:textId="6E5988DE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4. </w:t>
            </w:r>
            <w:r w:rsidRPr="00BD5146">
              <w:rPr>
                <w:rFonts w:ascii="Titillium Web" w:hAnsi="Titillium Web"/>
                <w:szCs w:val="24"/>
              </w:rPr>
              <w:t>Ciotola di produzione locale (IG 713; vernice nera)</w:t>
            </w:r>
          </w:p>
          <w:p w14:paraId="1608F3A2" w14:textId="0016EF3E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5. </w:t>
            </w:r>
            <w:r w:rsidRPr="00BD5146">
              <w:rPr>
                <w:rFonts w:ascii="Titillium Web" w:hAnsi="Titillium Web"/>
                <w:szCs w:val="24"/>
              </w:rPr>
              <w:t>Piatto da pesce su alto piede di produzione locale (IG 712; vernice nera)</w:t>
            </w:r>
          </w:p>
          <w:p w14:paraId="707754BB" w14:textId="744DCC01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6. </w:t>
            </w:r>
            <w:r w:rsidRPr="00BD5146">
              <w:rPr>
                <w:rFonts w:ascii="Titillium Web" w:hAnsi="Titillium Web"/>
                <w:szCs w:val="24"/>
              </w:rPr>
              <w:t>Piatto da pesce su alto piede di produzione locale (IG 16086; vernice nera)</w:t>
            </w:r>
          </w:p>
          <w:p w14:paraId="5EE32F9C" w14:textId="384187AD" w:rsidR="00491652" w:rsidRPr="00BD5146" w:rsidRDefault="00491652" w:rsidP="00BD5146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 xml:space="preserve">7. </w:t>
            </w:r>
            <w:r w:rsidRPr="00BD5146">
              <w:rPr>
                <w:rFonts w:ascii="Titillium Web" w:hAnsi="Titillium Web"/>
                <w:szCs w:val="24"/>
              </w:rPr>
              <w:t>Alabastron (IG 715; pasta vitrea)</w:t>
            </w:r>
          </w:p>
        </w:tc>
      </w:tr>
      <w:tr w:rsidR="001B5504" w:rsidRPr="00BD514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5C728E8" w:rsidR="001B5504" w:rsidRPr="00BD5146" w:rsidRDefault="00834DB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In frammenti misti alle ossa</w:t>
            </w:r>
          </w:p>
        </w:tc>
      </w:tr>
      <w:tr w:rsidR="001B5504" w:rsidRPr="00BD514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86EF757" w:rsidR="001B5504" w:rsidRPr="00BD5146" w:rsidRDefault="00BD514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 w:cs="Times New Roman"/>
                <w:szCs w:val="24"/>
              </w:rPr>
              <w:t xml:space="preserve">Al corredo sono stati attribuiti, successivamente al suo rinvenimento, nove oggetti: un fr. di forma aperta attica a </w:t>
            </w:r>
            <w:proofErr w:type="spellStart"/>
            <w:r w:rsidRPr="00BD5146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BD5146">
              <w:rPr>
                <w:rFonts w:ascii="Titillium Web" w:hAnsi="Titillium Web" w:cs="Times New Roman"/>
                <w:szCs w:val="24"/>
              </w:rPr>
              <w:t>., sette vasi a v.n. locale ed una seconda olla in ceramica grezza</w:t>
            </w:r>
          </w:p>
        </w:tc>
      </w:tr>
      <w:tr w:rsidR="001B5504" w:rsidRPr="00BD514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D514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D514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BD514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zCs w:val="24"/>
              </w:rPr>
              <w:t>Prima metà del III sec. a.C.</w:t>
            </w:r>
          </w:p>
        </w:tc>
      </w:tr>
      <w:tr w:rsidR="001B5504" w:rsidRPr="00BD514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Baldoni</w:t>
            </w:r>
            <w:r w:rsidRPr="00BD5146">
              <w:rPr>
                <w:rFonts w:ascii="Titillium Web" w:hAnsi="Titillium Web"/>
                <w:szCs w:val="24"/>
              </w:rPr>
              <w:t xml:space="preserve"> 1981, pp. 84-85.</w:t>
            </w:r>
          </w:p>
        </w:tc>
      </w:tr>
      <w:tr w:rsidR="001B5504" w:rsidRPr="00BD514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BD514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D514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BD514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B5504"/>
    <w:rsid w:val="001F2833"/>
    <w:rsid w:val="0029024B"/>
    <w:rsid w:val="002977D7"/>
    <w:rsid w:val="002F1500"/>
    <w:rsid w:val="00472AF4"/>
    <w:rsid w:val="00491652"/>
    <w:rsid w:val="005B5AFF"/>
    <w:rsid w:val="0068458A"/>
    <w:rsid w:val="006B1906"/>
    <w:rsid w:val="00710B38"/>
    <w:rsid w:val="007145BC"/>
    <w:rsid w:val="007D54CD"/>
    <w:rsid w:val="00834DBA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D5146"/>
    <w:rsid w:val="00BE2CB2"/>
    <w:rsid w:val="00BE63CC"/>
    <w:rsid w:val="00BF212E"/>
    <w:rsid w:val="00C21EE0"/>
    <w:rsid w:val="00C30F5C"/>
    <w:rsid w:val="00CC46E5"/>
    <w:rsid w:val="00D35C95"/>
    <w:rsid w:val="00D54723"/>
    <w:rsid w:val="00D7578C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2026-05-16T10:43:00Z</dcterms:modified>
</cp:coreProperties>
</file>