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4290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00E41" w14:paraId="07B74F48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2C48D4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EF2E7E7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00E41" w14:paraId="664E44A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691FC7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1F4C59F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00E41" w14:paraId="52B02508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AD4124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8A8E6EF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00E41" w14:paraId="6BE711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898550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8CC2D00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00E41" w14:paraId="5E2AE840" w14:textId="77777777" w:rsidTr="002665C6">
        <w:trPr>
          <w:jc w:val="center"/>
        </w:trPr>
        <w:tc>
          <w:tcPr>
            <w:tcW w:w="1650" w:type="pct"/>
            <w:vAlign w:val="center"/>
          </w:tcPr>
          <w:p w14:paraId="1AA28CD0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6900C8F9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00E41" w14:paraId="4C4A827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F1CB964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7C00F882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00E41" w14:paraId="4761A8D0" w14:textId="77777777" w:rsidTr="002665C6">
        <w:trPr>
          <w:jc w:val="center"/>
        </w:trPr>
        <w:tc>
          <w:tcPr>
            <w:tcW w:w="1650" w:type="pct"/>
            <w:vAlign w:val="center"/>
          </w:tcPr>
          <w:p w14:paraId="617D11EF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1625E8D3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00E41" w14:paraId="171F6DFD" w14:textId="77777777" w:rsidTr="002665C6">
        <w:trPr>
          <w:jc w:val="center"/>
        </w:trPr>
        <w:tc>
          <w:tcPr>
            <w:tcW w:w="1650" w:type="pct"/>
            <w:vAlign w:val="center"/>
          </w:tcPr>
          <w:p w14:paraId="08961C51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01C9005C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A00E41" w14:paraId="4EA770A8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CB4EF7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A13239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Questa tomba si rinvenne nell’approfondire il canalino di limite della trincea nel lato N. ed il sepolcreto si protendeva oltre il canalino stesso più a Nord fuori della trincea.</w:t>
            </w:r>
          </w:p>
          <w:p w14:paraId="10107C0B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Ciottolo a 0.40 fra la alluvione e la sabbia.</w:t>
            </w:r>
          </w:p>
          <w:p w14:paraId="63736279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Tomba 369 - a umazione</w:t>
            </w:r>
          </w:p>
          <w:p w14:paraId="5C95A9CD" w14:textId="08A447DF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A m 159 dallo scolo B, a nord del limite N della trincea -E- C di m 1.00</w:t>
            </w:r>
            <w:r w:rsidR="00A00E41">
              <w:rPr>
                <w:rFonts w:ascii="Titillium Web" w:hAnsi="Titillium Web"/>
                <w:i/>
                <w:iCs/>
                <w:szCs w:val="24"/>
              </w:rPr>
              <w:t xml:space="preserve">, </w:t>
            </w:r>
            <w:r w:rsidRPr="00A00E41">
              <w:rPr>
                <w:rFonts w:ascii="Titillium Web" w:hAnsi="Titillium Web"/>
                <w:i/>
                <w:iCs/>
                <w:szCs w:val="24"/>
              </w:rPr>
              <w:t>a m 1.10 di profondità, nello strato sabbioso giaceva (fra tronchi di legno)</w:t>
            </w:r>
          </w:p>
          <w:p w14:paraId="74A00240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398336DA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a destra della testa aveva:</w:t>
            </w:r>
          </w:p>
          <w:p w14:paraId="79DC2EB8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2 grandi anfore puntute, grezze, piantate diritte nella sabbia - (una ha la punta un po’ staccata ed è un po’ slabbrata)</w:t>
            </w:r>
          </w:p>
          <w:p w14:paraId="0EF94DC5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a destra presso la spalla:</w:t>
            </w:r>
          </w:p>
          <w:p w14:paraId="0D293B09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2 grandi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 a piede stretto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con disegni di anitre dipinte in rosso, interi e grossolani, sia di fattura che di vernice, erano coperti da:</w:t>
            </w:r>
          </w:p>
          <w:p w14:paraId="01CA9227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2 piatti ad alto piede,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scadente, di spessore rilevante e di fattura grossolana.</w:t>
            </w:r>
          </w:p>
          <w:p w14:paraId="53559964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1 cratere a campana di fattura apula? Con l’orlo tutto frammentato ma ricomponibile per intero, è decorato a tinte bruno-scura, di disegno molto scadente; tipo di decorazione degli oinochoai con figure di testoni e palmette. Nello sviluppo del vaso vi sono due zone: una prima superiore, più grande, ha dipinto in mezzo una testa femminile, palmette e linee ondulate verticali, nello spazio delle anse vi sono disegnate </w:t>
            </w:r>
            <w:r w:rsidRPr="00A00E41">
              <w:rPr>
                <w:rFonts w:ascii="Titillium Web" w:hAnsi="Titillium Web"/>
                <w:i/>
                <w:iCs/>
                <w:szCs w:val="24"/>
              </w:rPr>
              <w:lastRenderedPageBreak/>
              <w:t>palmette e lineette verticali: sui due lati le stesse sono differenti: una è di fronte con riccioli che la incorniciano, l’altra è di profilo con i capelli disegnati a tratti duri in senso orizzontale come negli oinochoai. Nella fascia inferiore, presso il piede, volute alternate disegnate goffamente. Il vaso è restaurabile per intero.</w:t>
            </w:r>
          </w:p>
          <w:p w14:paraId="15EA6627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(Vedi tomba 142 ott. del 1923, ha dato altro cratere apulo del tipo simile)</w:t>
            </w:r>
          </w:p>
          <w:p w14:paraId="5C5DA1F6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2 grandi oinochoai a forma di fiasca, con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, a bocca trilobata,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scadente ed ansa verticale, grossolani, uno ha il peduccio staccato, e l’altro è leggermente frammentato nei lobi della bocca.</w:t>
            </w:r>
          </w:p>
          <w:p w14:paraId="0F1B3243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 con coperchio, decorate con motivi di palmette e denti di lupo, a vernice bruno-scura, sono frammentate (meno una tazza)</w:t>
            </w:r>
          </w:p>
          <w:p w14:paraId="2163EA4A" w14:textId="606FF2EA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1 balsamario configurato a tutto rilievo, in cotto, rappresentante un bove in atto di riposo, con le zampe raccolte sotto il ventre (meno la destra anteriore). Ha sulla schiena l’ansa e il beccuccio; non sembra avere tracce di coloritura. Manca dell’orecchio sinistro ed ha la gamba anteriore destra frammentata assieme ad un pezzetto della basetta a fettuccia. </w:t>
            </w:r>
            <w:r w:rsidR="00A00E41" w:rsidRPr="00A00E41">
              <w:rPr>
                <w:rFonts w:ascii="Titillium Web" w:hAnsi="Titillium Web"/>
                <w:i/>
                <w:iCs/>
                <w:szCs w:val="24"/>
              </w:rPr>
              <w:t>È</w:t>
            </w: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 lungo nella base m 0,19 ed è alto presso la testa 0,12. Come tipo di lavoro assomiglia ad altri pezzi simili già rinvenuti in alta tomba (vedi T.  ) non è però fino come i già rinvenuti.</w:t>
            </w:r>
          </w:p>
          <w:p w14:paraId="111FEA55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a ponente della terracotta figurata (bove) era:</w:t>
            </w:r>
          </w:p>
          <w:p w14:paraId="106D835E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1 candelabro? di ferro quale si sono raccolti una quantità in frammenti irriconoscibili; tanto sono sformati dall’ossido, Non si comprende che oggetto fosse, ho detto candelabro perché è apparso circa 50 cent. sopra il piano della tomba.</w:t>
            </w:r>
          </w:p>
          <w:p w14:paraId="5455615F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6A856A80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2 dadi quadrati di avorio (?) e</w:t>
            </w:r>
          </w:p>
          <w:p w14:paraId="1B53AD68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7 pallottole emisferiche (di pietra) forse per segnare i punti al gioco -</w:t>
            </w:r>
          </w:p>
          <w:p w14:paraId="743040C0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1 cannello di osso, cilindrico, vuoto, frammentato</w:t>
            </w:r>
          </w:p>
          <w:p w14:paraId="7A30FB02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e poche conchiglie comuni -</w:t>
            </w:r>
          </w:p>
          <w:p w14:paraId="441A8645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Presso il femore destro fino ai piedi:</w:t>
            </w:r>
          </w:p>
          <w:p w14:paraId="489DD95C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1 vaso a ventre molto rigonfio, a bocca circolare, con due anse abbinate che si attaccano alla bocca e alla spalla del vaso; è </w:t>
            </w:r>
            <w:r w:rsidRPr="00A00E41">
              <w:rPr>
                <w:rFonts w:ascii="Titillium Web" w:hAnsi="Titillium Web"/>
                <w:i/>
                <w:iCs/>
                <w:szCs w:val="24"/>
              </w:rPr>
              <w:lastRenderedPageBreak/>
              <w:t>decorato di linee a zig-zag sulla spalla e a fasce attorno al ventre, di vernice bruna, è intero, di lavoro grossolano -</w:t>
            </w:r>
          </w:p>
          <w:p w14:paraId="6AA88585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4 tazze grandi;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(2 intere) entro le quali erano avanzi del viatico (ossa di pollo e vertebre di bue?)</w:t>
            </w:r>
          </w:p>
          <w:p w14:paraId="5E173D1F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10 ciotole piccole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fra intere e frammentate</w:t>
            </w:r>
          </w:p>
          <w:p w14:paraId="3C90A721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2 ciotole di spessore sottile,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umbelicate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,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buona, sono in frammenti. (vedi T. 186)</w:t>
            </w:r>
          </w:p>
          <w:p w14:paraId="146860CD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13 piattelli con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,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scadente</w:t>
            </w:r>
          </w:p>
          <w:p w14:paraId="03565AB7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7 piccoli vasettini sferici, con bocca circolare, con ansa ad anello (con due cornetti)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(vedi uguali in tomba n. 156)</w:t>
            </w:r>
          </w:p>
          <w:p w14:paraId="22E2C179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1 vasetto a forma di kantharos? o bicchiere di forma slanciata, con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 alto, e anse a fune. È a vernice nera scadente, ed è intero. Alto 0,189.</w:t>
            </w:r>
          </w:p>
          <w:p w14:paraId="70251220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1 idem più grande, schiacciato ed in minuti frammenti</w:t>
            </w:r>
          </w:p>
          <w:p w14:paraId="5935474A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1 idem più piccolo</w:t>
            </w:r>
          </w:p>
          <w:p w14:paraId="6BFCD0D9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1 piatto per pesce, con cavetto centrale, a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. nera scadente, intero</w:t>
            </w:r>
          </w:p>
          <w:p w14:paraId="5CE51568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 xml:space="preserve">2 piattelli con </w:t>
            </w:r>
            <w:proofErr w:type="spellStart"/>
            <w:r w:rsidRPr="00A00E41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A00E41">
              <w:rPr>
                <w:rFonts w:ascii="Titillium Web" w:hAnsi="Titillium Web"/>
                <w:i/>
                <w:iCs/>
                <w:szCs w:val="24"/>
              </w:rPr>
              <w:t>, a vernice bruno rossastra, interi</w:t>
            </w:r>
          </w:p>
          <w:p w14:paraId="5B732B4B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2 piattelli apodi, di argilla giallo rossastra, comuni, grezzi, interi</w:t>
            </w:r>
          </w:p>
          <w:p w14:paraId="6C50C764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a sinistra presso i piedi lo scheletro aveva:</w:t>
            </w:r>
          </w:p>
          <w:p w14:paraId="71FE3DC9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1 colatoio bucherellato, di un metallo che non si comprende se è piombo; è tutto a pezzi e sformato per la pressione della terra. Sembra avere dei manici lunghi e sottili come una fettuccia, dello stesso metallo, uno dei quali termina in una figurina a rilievo irriconoscibile per l’ossidazione.</w:t>
            </w:r>
          </w:p>
          <w:p w14:paraId="41954EF7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Superficialmente a questa tomba si rinvennero 2 cocci figurati di piccolo cratere a campana (figura di satiro, di disegno strapazzato e tardo) ed un ciottolo fluviale.</w:t>
            </w:r>
          </w:p>
          <w:p w14:paraId="180338D1" w14:textId="77777777" w:rsidR="005B5548" w:rsidRPr="00A00E4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00E41">
              <w:rPr>
                <w:rFonts w:ascii="Titillium Web" w:hAnsi="Titillium Web"/>
                <w:i/>
                <w:iCs/>
                <w:szCs w:val="24"/>
              </w:rPr>
              <w:t>Può darsi che siano avanzi di altra tomba devastata e saccheggiata.</w:t>
            </w:r>
          </w:p>
        </w:tc>
      </w:tr>
      <w:tr w:rsidR="0086297F" w:rsidRPr="00A00E41" w14:paraId="3FEC0AB9" w14:textId="77777777" w:rsidTr="002665C6">
        <w:trPr>
          <w:jc w:val="center"/>
        </w:trPr>
        <w:tc>
          <w:tcPr>
            <w:tcW w:w="1650" w:type="pct"/>
            <w:vAlign w:val="center"/>
          </w:tcPr>
          <w:p w14:paraId="0899C8DB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0EBB3BA6" w14:textId="6528F7A6" w:rsidR="0086297F" w:rsidRPr="00A00E41" w:rsidRDefault="0025272C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A00E41" w14:paraId="0066BF01" w14:textId="77777777" w:rsidTr="002665C6">
        <w:trPr>
          <w:jc w:val="center"/>
        </w:trPr>
        <w:tc>
          <w:tcPr>
            <w:tcW w:w="1650" w:type="pct"/>
            <w:vAlign w:val="center"/>
          </w:tcPr>
          <w:p w14:paraId="5D64369E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8903C50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A00E41" w14:paraId="74A16C85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BA3919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32D1C40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00E41" w14:paraId="78046275" w14:textId="77777777" w:rsidTr="002665C6">
        <w:trPr>
          <w:jc w:val="center"/>
        </w:trPr>
        <w:tc>
          <w:tcPr>
            <w:tcW w:w="1650" w:type="pct"/>
            <w:vAlign w:val="center"/>
          </w:tcPr>
          <w:p w14:paraId="6FCD225A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BABC72A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A00E41" w14:paraId="5E30EF2F" w14:textId="77777777" w:rsidTr="002665C6">
        <w:trPr>
          <w:jc w:val="center"/>
        </w:trPr>
        <w:tc>
          <w:tcPr>
            <w:tcW w:w="1650" w:type="pct"/>
            <w:vAlign w:val="center"/>
          </w:tcPr>
          <w:p w14:paraId="5B42184A" w14:textId="77777777" w:rsidR="0086297F" w:rsidRPr="00A00E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00E4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AABD68" w14:textId="77777777" w:rsidR="005B5548" w:rsidRPr="00A00E41" w:rsidRDefault="00000000" w:rsidP="00A00E41">
            <w:pPr>
              <w:jc w:val="center"/>
              <w:rPr>
                <w:rFonts w:ascii="Titillium Web" w:hAnsi="Titillium Web"/>
                <w:szCs w:val="24"/>
              </w:rPr>
            </w:pPr>
            <w:r w:rsidRPr="00A00E4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A00E41">
              <w:rPr>
                <w:rFonts w:ascii="Titillium Web" w:eastAsia="Titillium" w:hAnsi="Titillium Web" w:cs="Titillium"/>
                <w:szCs w:val="24"/>
              </w:rPr>
              <w:t xml:space="preserve"> 1993, p. 44; Pozzi 2011; </w:t>
            </w:r>
            <w:r w:rsidRPr="00A00E4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A00E41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A00E4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00E41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A00E41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A00E41">
              <w:rPr>
                <w:rFonts w:ascii="Titillium Web" w:eastAsia="Titillium" w:hAnsi="Titillium Web" w:cs="Titillium"/>
                <w:szCs w:val="24"/>
              </w:rPr>
              <w:t xml:space="preserve"> 2022, pp. 76-77, 127.</w:t>
            </w:r>
          </w:p>
        </w:tc>
      </w:tr>
    </w:tbl>
    <w:p w14:paraId="1654C4F4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272C"/>
    <w:rsid w:val="002977D7"/>
    <w:rsid w:val="00472AF4"/>
    <w:rsid w:val="00551AF8"/>
    <w:rsid w:val="005B5548"/>
    <w:rsid w:val="005B5AFF"/>
    <w:rsid w:val="006162A4"/>
    <w:rsid w:val="006346F7"/>
    <w:rsid w:val="006D6EFB"/>
    <w:rsid w:val="007145BC"/>
    <w:rsid w:val="0086297F"/>
    <w:rsid w:val="009E4922"/>
    <w:rsid w:val="009E5EC2"/>
    <w:rsid w:val="00A00E41"/>
    <w:rsid w:val="00AB321D"/>
    <w:rsid w:val="00B165C4"/>
    <w:rsid w:val="00C21EE0"/>
    <w:rsid w:val="00D900AB"/>
    <w:rsid w:val="00D936E8"/>
    <w:rsid w:val="00DF4E5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FFCF1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2026-05-15T10:58:00Z</dcterms:modified>
</cp:coreProperties>
</file>