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377</w:t>
      </w:r>
    </w:p>
    <w:tbl>
      <w:tblPr>
        <w:tblStyle w:val="Grigliatabella"/>
        <w:tblW w:w="5000" w:type="pct"/>
        <w:jc w:val="center"/>
        <w:tblLook w:val="04A0" w:firstRow="1" w:lastRow="0" w:firstColumn="1" w:lastColumn="0" w:noHBand="0" w:noVBand="1"/>
      </w:tblPr>
      <w:tblGrid>
        <w:gridCol w:w="2990"/>
        <w:gridCol w:w="6070"/>
      </w:tblGrid>
      <w:tr w:rsidR="0086297F" w:rsidRPr="00F43DAF" w14:paraId="69604347" w14:textId="77777777" w:rsidTr="002665C6">
        <w:trPr>
          <w:jc w:val="center"/>
        </w:trPr>
        <w:tc>
          <w:tcPr>
            <w:tcW w:w="1650" w:type="pct"/>
            <w:vAlign w:val="center"/>
          </w:tcPr>
          <w:p w14:paraId="59258D49"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Anno di rinvenimento</w:t>
            </w:r>
          </w:p>
        </w:tc>
        <w:tc>
          <w:tcPr>
            <w:tcW w:w="3350" w:type="pct"/>
            <w:vAlign w:val="center"/>
          </w:tcPr>
          <w:p w14:paraId="10AA1E7C" w14:textId="59BFE2EE" w:rsidR="0086297F" w:rsidRPr="00F43DAF" w:rsidRDefault="0086297F" w:rsidP="002665C6">
            <w:pPr>
              <w:jc w:val="center"/>
              <w:rPr>
                <w:rFonts w:ascii="Titillium Web" w:hAnsi="Titillium Web"/>
                <w:szCs w:val="24"/>
              </w:rPr>
            </w:pPr>
            <w:r w:rsidRPr="00F43DAF">
              <w:rPr>
                <w:rFonts w:ascii="Titillium Web" w:hAnsi="Titillium Web"/>
                <w:szCs w:val="24"/>
              </w:rPr>
              <w:t>1925</w:t>
            </w:r>
          </w:p>
        </w:tc>
      </w:tr>
      <w:tr w:rsidR="0086297F" w:rsidRPr="00F43DAF" w14:paraId="3B6B9C62" w14:textId="77777777" w:rsidTr="002665C6">
        <w:trPr>
          <w:jc w:val="center"/>
        </w:trPr>
        <w:tc>
          <w:tcPr>
            <w:tcW w:w="1650" w:type="pct"/>
            <w:vAlign w:val="center"/>
          </w:tcPr>
          <w:p w14:paraId="2D01D888"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Stato di conservazione della tomba</w:t>
            </w:r>
          </w:p>
        </w:tc>
        <w:tc>
          <w:tcPr>
            <w:tcW w:w="3350" w:type="pct"/>
            <w:vAlign w:val="center"/>
          </w:tcPr>
          <w:p w14:paraId="3ADC95CD" w14:textId="31719CCD" w:rsidR="0086297F" w:rsidRPr="00F43DAF" w:rsidRDefault="0086297F" w:rsidP="002665C6">
            <w:pPr>
              <w:jc w:val="center"/>
              <w:rPr>
                <w:rFonts w:ascii="Titillium Web" w:hAnsi="Titillium Web"/>
                <w:szCs w:val="24"/>
              </w:rPr>
            </w:pPr>
            <w:r w:rsidRPr="00F43DAF">
              <w:rPr>
                <w:rFonts w:ascii="Titillium Web" w:hAnsi="Titillium Web"/>
                <w:szCs w:val="24"/>
              </w:rPr>
              <w:t>Intatta</w:t>
            </w:r>
          </w:p>
        </w:tc>
      </w:tr>
      <w:tr w:rsidR="0086297F" w:rsidRPr="00F43DAF" w14:paraId="3D165E1E" w14:textId="77777777" w:rsidTr="002665C6">
        <w:trPr>
          <w:jc w:val="center"/>
        </w:trPr>
        <w:tc>
          <w:tcPr>
            <w:tcW w:w="1650" w:type="pct"/>
            <w:vAlign w:val="center"/>
          </w:tcPr>
          <w:p w14:paraId="2A5B3D4F"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Rito di seppellimento</w:t>
            </w:r>
          </w:p>
        </w:tc>
        <w:tc>
          <w:tcPr>
            <w:tcW w:w="3350" w:type="pct"/>
            <w:vAlign w:val="center"/>
          </w:tcPr>
          <w:p w14:paraId="094BD426" w14:textId="6E99443A" w:rsidR="0086297F" w:rsidRPr="00F43DAF" w:rsidRDefault="0086297F" w:rsidP="002665C6">
            <w:pPr>
              <w:jc w:val="center"/>
              <w:rPr>
                <w:rFonts w:ascii="Titillium Web" w:hAnsi="Titillium Web"/>
                <w:szCs w:val="24"/>
              </w:rPr>
            </w:pPr>
            <w:r w:rsidRPr="00F43DAF">
              <w:rPr>
                <w:rFonts w:ascii="Titillium Web" w:hAnsi="Titillium Web"/>
                <w:szCs w:val="24"/>
              </w:rPr>
              <w:t>inumazione</w:t>
            </w:r>
          </w:p>
        </w:tc>
      </w:tr>
      <w:tr w:rsidR="0086297F" w:rsidRPr="00F43DAF" w14:paraId="44CADBCB" w14:textId="77777777" w:rsidTr="002665C6">
        <w:trPr>
          <w:jc w:val="center"/>
        </w:trPr>
        <w:tc>
          <w:tcPr>
            <w:tcW w:w="1650" w:type="pct"/>
            <w:vAlign w:val="center"/>
          </w:tcPr>
          <w:p w14:paraId="1E25741A"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Struttura tomba</w:t>
            </w:r>
          </w:p>
        </w:tc>
        <w:tc>
          <w:tcPr>
            <w:tcW w:w="3350" w:type="pct"/>
            <w:vAlign w:val="center"/>
          </w:tcPr>
          <w:p w14:paraId="1DE3BCB3" w14:textId="08DB6A85" w:rsidR="0086297F" w:rsidRPr="00F43DAF" w:rsidRDefault="0086297F" w:rsidP="002665C6">
            <w:pPr>
              <w:jc w:val="center"/>
              <w:rPr>
                <w:rFonts w:ascii="Titillium Web" w:hAnsi="Titillium Web"/>
                <w:szCs w:val="24"/>
              </w:rPr>
            </w:pPr>
            <w:r w:rsidRPr="00F43DAF">
              <w:rPr>
                <w:rFonts w:ascii="Titillium Web" w:hAnsi="Titillium Web"/>
                <w:szCs w:val="24"/>
              </w:rPr>
              <w:t>fossa con cassone ligneo</w:t>
            </w:r>
          </w:p>
        </w:tc>
      </w:tr>
      <w:tr w:rsidR="0086297F" w:rsidRPr="00F43DAF" w14:paraId="47E1F943" w14:textId="77777777" w:rsidTr="002665C6">
        <w:trPr>
          <w:jc w:val="center"/>
        </w:trPr>
        <w:tc>
          <w:tcPr>
            <w:tcW w:w="1650" w:type="pct"/>
            <w:vAlign w:val="center"/>
          </w:tcPr>
          <w:p w14:paraId="355EE080"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 xml:space="preserve">Profondità dal piano di campagna </w:t>
            </w:r>
          </w:p>
        </w:tc>
        <w:tc>
          <w:tcPr>
            <w:tcW w:w="3350" w:type="pct"/>
            <w:vAlign w:val="center"/>
          </w:tcPr>
          <w:p w14:paraId="13D75B9B" w14:textId="6492371F" w:rsidR="0086297F" w:rsidRPr="00F43DAF" w:rsidRDefault="0086297F" w:rsidP="002665C6">
            <w:pPr>
              <w:jc w:val="center"/>
              <w:rPr>
                <w:rFonts w:ascii="Titillium Web" w:hAnsi="Titillium Web"/>
                <w:szCs w:val="24"/>
              </w:rPr>
            </w:pPr>
            <w:r w:rsidRPr="00F43DAF">
              <w:rPr>
                <w:rFonts w:ascii="Titillium Web" w:hAnsi="Titillium Web"/>
                <w:szCs w:val="24"/>
              </w:rPr>
              <w:t>1,2 m</w:t>
            </w:r>
          </w:p>
        </w:tc>
      </w:tr>
      <w:tr w:rsidR="0086297F" w:rsidRPr="00F43DAF" w14:paraId="75BC79FE" w14:textId="77777777" w:rsidTr="002665C6">
        <w:trPr>
          <w:jc w:val="center"/>
        </w:trPr>
        <w:tc>
          <w:tcPr>
            <w:tcW w:w="1650" w:type="pct"/>
            <w:vAlign w:val="center"/>
          </w:tcPr>
          <w:p w14:paraId="432462C5"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Dimensioni della sepoltura</w:t>
            </w:r>
          </w:p>
        </w:tc>
        <w:tc>
          <w:tcPr>
            <w:tcW w:w="3350" w:type="pct"/>
            <w:vAlign w:val="center"/>
          </w:tcPr>
          <w:p w14:paraId="65EDFAD4" w14:textId="5859930D" w:rsidR="0086297F" w:rsidRPr="00F43DAF" w:rsidRDefault="0086297F" w:rsidP="002665C6">
            <w:pPr>
              <w:jc w:val="center"/>
              <w:rPr>
                <w:rFonts w:ascii="Titillium Web" w:hAnsi="Titillium Web"/>
                <w:szCs w:val="24"/>
              </w:rPr>
            </w:pPr>
            <w:r w:rsidRPr="00F43DAF">
              <w:rPr>
                <w:rFonts w:ascii="Titillium Web" w:hAnsi="Titillium Web"/>
                <w:szCs w:val="24"/>
              </w:rPr>
              <w:t>2,6x1,8</w:t>
            </w:r>
          </w:p>
        </w:tc>
      </w:tr>
      <w:tr w:rsidR="0086297F" w:rsidRPr="00F43DAF" w14:paraId="35E5C09E" w14:textId="77777777" w:rsidTr="002665C6">
        <w:trPr>
          <w:jc w:val="center"/>
        </w:trPr>
        <w:tc>
          <w:tcPr>
            <w:tcW w:w="1650" w:type="pct"/>
            <w:vAlign w:val="center"/>
          </w:tcPr>
          <w:p w14:paraId="5AA10374"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Orientamento dello scheletro</w:t>
            </w:r>
          </w:p>
        </w:tc>
        <w:tc>
          <w:tcPr>
            <w:tcW w:w="3350" w:type="pct"/>
            <w:vAlign w:val="center"/>
          </w:tcPr>
          <w:p w14:paraId="6E0E4E7B" w14:textId="7F6B3E0C" w:rsidR="0086297F" w:rsidRPr="00F43DAF" w:rsidRDefault="0086297F" w:rsidP="002665C6">
            <w:pPr>
              <w:jc w:val="center"/>
              <w:rPr>
                <w:rFonts w:ascii="Titillium Web" w:hAnsi="Titillium Web"/>
                <w:szCs w:val="24"/>
              </w:rPr>
            </w:pPr>
            <w:r w:rsidRPr="00F43DAF">
              <w:rPr>
                <w:rFonts w:ascii="Titillium Web" w:hAnsi="Titillium Web"/>
                <w:szCs w:val="24"/>
              </w:rPr>
              <w:t>NNW-SSE</w:t>
            </w:r>
          </w:p>
        </w:tc>
      </w:tr>
      <w:tr w:rsidR="0086297F" w:rsidRPr="00F43DAF" w14:paraId="71236441" w14:textId="77777777" w:rsidTr="002665C6">
        <w:trPr>
          <w:jc w:val="center"/>
        </w:trPr>
        <w:tc>
          <w:tcPr>
            <w:tcW w:w="1650" w:type="pct"/>
            <w:vAlign w:val="center"/>
          </w:tcPr>
          <w:p w14:paraId="4A1B31A8"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Segnacolo</w:t>
            </w:r>
          </w:p>
        </w:tc>
        <w:tc>
          <w:tcPr>
            <w:tcW w:w="3350" w:type="pct"/>
            <w:vAlign w:val="center"/>
          </w:tcPr>
          <w:p w14:paraId="104CE615" w14:textId="50385AE1" w:rsidR="0086297F" w:rsidRPr="00F43DAF" w:rsidRDefault="0086297F" w:rsidP="002665C6">
            <w:pPr>
              <w:jc w:val="center"/>
              <w:rPr>
                <w:rFonts w:ascii="Titillium Web" w:hAnsi="Titillium Web"/>
                <w:szCs w:val="24"/>
              </w:rPr>
            </w:pPr>
            <w:r w:rsidRPr="00F43DAF">
              <w:rPr>
                <w:rFonts w:ascii="Titillium Web" w:hAnsi="Titillium Web"/>
                <w:szCs w:val="24"/>
              </w:rPr>
              <w:t>/</w:t>
            </w:r>
          </w:p>
        </w:tc>
      </w:tr>
      <w:tr w:rsidR="0086297F" w:rsidRPr="00F43DAF" w14:paraId="6D6CBA71" w14:textId="77777777" w:rsidTr="002665C6">
        <w:trPr>
          <w:jc w:val="center"/>
        </w:trPr>
        <w:tc>
          <w:tcPr>
            <w:tcW w:w="1650" w:type="pct"/>
            <w:vAlign w:val="center"/>
          </w:tcPr>
          <w:p w14:paraId="75CA0D64"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Giornale di scavo</w:t>
            </w:r>
          </w:p>
        </w:tc>
        <w:tc>
          <w:tcPr>
            <w:tcW w:w="3350" w:type="pct"/>
            <w:vAlign w:val="center"/>
          </w:tcPr>
          <w:p w14:paraId="041243A0" w14:textId="77777777" w:rsidR="0042594F" w:rsidRPr="00F43DAF" w:rsidRDefault="00000000">
            <w:pPr>
              <w:rPr>
                <w:rFonts w:ascii="Titillium Web" w:hAnsi="Titillium Web"/>
                <w:i/>
                <w:iCs/>
                <w:szCs w:val="24"/>
              </w:rPr>
            </w:pPr>
            <w:r w:rsidRPr="00F43DAF">
              <w:rPr>
                <w:rFonts w:ascii="Titillium Web" w:hAnsi="Titillium Web"/>
                <w:i/>
                <w:iCs/>
                <w:szCs w:val="24"/>
              </w:rPr>
              <w:t>Tomba 377 a umazione</w:t>
            </w:r>
          </w:p>
          <w:p w14:paraId="4BB8FB89" w14:textId="77777777" w:rsidR="0042594F" w:rsidRPr="00F43DAF" w:rsidRDefault="00000000">
            <w:pPr>
              <w:rPr>
                <w:rFonts w:ascii="Titillium Web" w:hAnsi="Titillium Web"/>
                <w:i/>
                <w:iCs/>
                <w:szCs w:val="24"/>
              </w:rPr>
            </w:pPr>
            <w:r w:rsidRPr="00F43DAF">
              <w:rPr>
                <w:rFonts w:ascii="Titillium Web" w:hAnsi="Titillium Web"/>
                <w:i/>
                <w:iCs/>
                <w:szCs w:val="24"/>
              </w:rPr>
              <w:t>(con travi)</w:t>
            </w:r>
          </w:p>
          <w:p w14:paraId="12968945" w14:textId="77777777" w:rsidR="0042594F" w:rsidRPr="00F43DAF" w:rsidRDefault="00000000">
            <w:pPr>
              <w:rPr>
                <w:rFonts w:ascii="Titillium Web" w:hAnsi="Titillium Web"/>
                <w:i/>
                <w:iCs/>
                <w:szCs w:val="24"/>
              </w:rPr>
            </w:pPr>
            <w:r w:rsidRPr="00F43DAF">
              <w:rPr>
                <w:rFonts w:ascii="Titillium Web" w:hAnsi="Titillium Web"/>
                <w:i/>
                <w:iCs/>
                <w:szCs w:val="24"/>
              </w:rPr>
              <w:t>A m 5 a levante della precedente, a m 1,20 di profondità poggia 1 scheletro orientato da NNO a SSE.</w:t>
            </w:r>
          </w:p>
          <w:p w14:paraId="341CCF05" w14:textId="77777777" w:rsidR="0042594F" w:rsidRPr="00F43DAF" w:rsidRDefault="00000000">
            <w:pPr>
              <w:rPr>
                <w:rFonts w:ascii="Titillium Web" w:hAnsi="Titillium Web"/>
                <w:i/>
                <w:iCs/>
                <w:szCs w:val="24"/>
              </w:rPr>
            </w:pPr>
            <w:r w:rsidRPr="00F43DAF">
              <w:rPr>
                <w:rFonts w:ascii="Titillium Web" w:hAnsi="Titillium Web"/>
                <w:i/>
                <w:iCs/>
                <w:szCs w:val="24"/>
              </w:rPr>
              <w:t>Lo scheletro e le suppellettili sono inclusi dentro a due travi parallele lunghe m 2,60 equidistanti fra loro m 1,80.</w:t>
            </w:r>
          </w:p>
          <w:p w14:paraId="503EBA13" w14:textId="77777777" w:rsidR="0042594F" w:rsidRPr="00F43DAF" w:rsidRDefault="00000000">
            <w:pPr>
              <w:rPr>
                <w:rFonts w:ascii="Titillium Web" w:hAnsi="Titillium Web"/>
                <w:i/>
                <w:iCs/>
                <w:szCs w:val="24"/>
              </w:rPr>
            </w:pPr>
            <w:r w:rsidRPr="00F43DAF">
              <w:rPr>
                <w:rFonts w:ascii="Titillium Web" w:hAnsi="Titillium Web"/>
                <w:i/>
                <w:iCs/>
                <w:szCs w:val="24"/>
              </w:rPr>
              <w:t>Presso la testa dello scheletro (che è discretamente conservata, e che ho raccolto) erano a destra e a sinistra di essa, di circa 20 centimetri per lato, due borchie di bronzo (questo particolare siccome si ripete spesso, anche nelle tombe degli scorsi anni nelle quali ho rinvenuto quasi sempre simili borchie, vuote all’interno, e sempre presso la testa e qualche rarissima volta sotto i piedi, merita attenzione, poiché non possono essere chiodi della cassa, della quale ho cercato invano le traccie che avreb</w:t>
            </w:r>
            <w:r w:rsidRPr="00F43DAF">
              <w:rPr>
                <w:rFonts w:ascii="Titillium Web" w:hAnsi="Titillium Web"/>
                <w:i/>
                <w:iCs/>
                <w:szCs w:val="24"/>
              </w:rPr>
              <w:t>be lasciato il legno decomposto e perché anche dovrebbero essere simmetricamente poste ai 4 angoli della cassa, ma io suppongo che tali borchie fossero una decorazione posta su di un cuscino che per la sua funzione da origli re riceveva la testa dell’individuo, essendo indubbiamente il predetto origliere di stoffa, lana, ecc... prestissimo in decomposizione va abbassandosi, ed il cranio, seguendo lo spostamento del cuscino, si abbassava spostandosi leggermente.</w:t>
            </w:r>
          </w:p>
          <w:p w14:paraId="11753AC7" w14:textId="77777777" w:rsidR="0042594F" w:rsidRPr="00F43DAF" w:rsidRDefault="00000000">
            <w:pPr>
              <w:rPr>
                <w:rFonts w:ascii="Titillium Web" w:hAnsi="Titillium Web"/>
                <w:i/>
                <w:iCs/>
                <w:szCs w:val="24"/>
              </w:rPr>
            </w:pPr>
            <w:r w:rsidRPr="00F43DAF">
              <w:rPr>
                <w:rFonts w:ascii="Titillium Web" w:hAnsi="Titillium Web"/>
                <w:i/>
                <w:iCs/>
                <w:szCs w:val="24"/>
              </w:rPr>
              <w:lastRenderedPageBreak/>
              <w:t>Questo spiega perché 9 volte su 10 il cranio non è mai posto attaccato alle spalle e con il cervelletto poggiato sulla sabbia in basso, e la fronte rivolta al cielo.</w:t>
            </w:r>
          </w:p>
          <w:p w14:paraId="595CAFE5" w14:textId="77777777" w:rsidR="0042594F" w:rsidRPr="00F43DAF" w:rsidRDefault="00000000">
            <w:pPr>
              <w:rPr>
                <w:rFonts w:ascii="Titillium Web" w:hAnsi="Titillium Web"/>
                <w:i/>
                <w:iCs/>
                <w:szCs w:val="24"/>
              </w:rPr>
            </w:pPr>
            <w:r w:rsidRPr="00F43DAF">
              <w:rPr>
                <w:rFonts w:ascii="Titillium Web" w:hAnsi="Titillium Web"/>
                <w:i/>
                <w:iCs/>
                <w:szCs w:val="24"/>
              </w:rPr>
              <w:t>Spessissime volte il cranio è sopra una spalla oppure è svoltato quasi di sotto in su.</w:t>
            </w:r>
          </w:p>
          <w:p w14:paraId="53D4C898" w14:textId="77777777" w:rsidR="0042594F" w:rsidRPr="00F43DAF" w:rsidRDefault="00000000">
            <w:pPr>
              <w:rPr>
                <w:rFonts w:ascii="Titillium Web" w:hAnsi="Titillium Web"/>
                <w:i/>
                <w:iCs/>
                <w:szCs w:val="24"/>
              </w:rPr>
            </w:pPr>
            <w:r w:rsidRPr="00F43DAF">
              <w:rPr>
                <w:rFonts w:ascii="Titillium Web" w:hAnsi="Titillium Web"/>
                <w:i/>
                <w:iCs/>
                <w:szCs w:val="24"/>
              </w:rPr>
              <w:t>Presso la testa a destra era:</w:t>
            </w:r>
          </w:p>
          <w:p w14:paraId="25205858" w14:textId="77777777" w:rsidR="0042594F" w:rsidRPr="00F43DAF" w:rsidRDefault="00000000">
            <w:pPr>
              <w:rPr>
                <w:rFonts w:ascii="Titillium Web" w:hAnsi="Titillium Web"/>
                <w:i/>
                <w:iCs/>
                <w:szCs w:val="24"/>
              </w:rPr>
            </w:pPr>
            <w:r w:rsidRPr="00F43DAF">
              <w:rPr>
                <w:rFonts w:ascii="Titillium Web" w:hAnsi="Titillium Web"/>
                <w:i/>
                <w:iCs/>
                <w:szCs w:val="24"/>
              </w:rPr>
              <w:t>1 kelebe figurata in frammenti, schiacciata in frammenti, schiacciata</w:t>
            </w:r>
          </w:p>
          <w:p w14:paraId="64E9FBBD" w14:textId="77777777" w:rsidR="0042594F" w:rsidRPr="00F43DAF" w:rsidRDefault="00000000">
            <w:pPr>
              <w:rPr>
                <w:rFonts w:ascii="Titillium Web" w:hAnsi="Titillium Web"/>
                <w:i/>
                <w:iCs/>
                <w:szCs w:val="24"/>
              </w:rPr>
            </w:pPr>
            <w:r w:rsidRPr="00F43DAF">
              <w:rPr>
                <w:rFonts w:ascii="Titillium Web" w:hAnsi="Titillium Web"/>
                <w:i/>
                <w:iCs/>
                <w:szCs w:val="24"/>
              </w:rPr>
              <w:t>Lungo il fianco destro erano, in cumulo:</w:t>
            </w:r>
          </w:p>
          <w:p w14:paraId="7F6B5E58" w14:textId="77777777" w:rsidR="0042594F" w:rsidRPr="00F43DAF" w:rsidRDefault="00000000">
            <w:pPr>
              <w:rPr>
                <w:rFonts w:ascii="Titillium Web" w:hAnsi="Titillium Web"/>
                <w:i/>
                <w:iCs/>
                <w:szCs w:val="24"/>
              </w:rPr>
            </w:pPr>
            <w:r w:rsidRPr="00F43DAF">
              <w:rPr>
                <w:rFonts w:ascii="Titillium Web" w:hAnsi="Titillium Web"/>
                <w:i/>
                <w:iCs/>
                <w:szCs w:val="24"/>
              </w:rPr>
              <w:t>1 oinocoe a bocca trilobata a vern. nera con sul ventre una figura (rossa) di donna con tirso</w:t>
            </w:r>
          </w:p>
          <w:p w14:paraId="550F4A42" w14:textId="77777777" w:rsidR="0042594F" w:rsidRPr="00F43DAF" w:rsidRDefault="00000000">
            <w:pPr>
              <w:rPr>
                <w:rFonts w:ascii="Titillium Web" w:hAnsi="Titillium Web"/>
                <w:i/>
                <w:iCs/>
                <w:szCs w:val="24"/>
              </w:rPr>
            </w:pPr>
            <w:r w:rsidRPr="00F43DAF">
              <w:rPr>
                <w:rFonts w:ascii="Titillium Web" w:hAnsi="Titillium Web"/>
                <w:i/>
                <w:iCs/>
                <w:szCs w:val="24"/>
              </w:rPr>
              <w:t>nella sinistra, il disegno non sarebbe cattivo, ma è strapazzato, intero</w:t>
            </w:r>
          </w:p>
          <w:p w14:paraId="46A09C38" w14:textId="77777777" w:rsidR="0042594F" w:rsidRPr="00F43DAF" w:rsidRDefault="00000000">
            <w:pPr>
              <w:rPr>
                <w:rFonts w:ascii="Titillium Web" w:hAnsi="Titillium Web"/>
                <w:i/>
                <w:iCs/>
                <w:szCs w:val="24"/>
              </w:rPr>
            </w:pPr>
            <w:r w:rsidRPr="00F43DAF">
              <w:rPr>
                <w:rFonts w:ascii="Titillium Web" w:hAnsi="Titillium Web"/>
                <w:i/>
                <w:iCs/>
                <w:szCs w:val="24"/>
              </w:rPr>
              <w:t>1 oinocoe per forma uguale al precedente, intero e a vern. nera, liscio senza decorazioni.</w:t>
            </w:r>
          </w:p>
          <w:p w14:paraId="1A95ECCF" w14:textId="77777777" w:rsidR="0042594F" w:rsidRPr="00F43DAF" w:rsidRDefault="00000000">
            <w:pPr>
              <w:rPr>
                <w:rFonts w:ascii="Titillium Web" w:hAnsi="Titillium Web"/>
                <w:i/>
                <w:iCs/>
                <w:szCs w:val="24"/>
              </w:rPr>
            </w:pPr>
            <w:r w:rsidRPr="00F43DAF">
              <w:rPr>
                <w:rFonts w:ascii="Titillium Web" w:hAnsi="Titillium Web"/>
                <w:i/>
                <w:iCs/>
                <w:szCs w:val="24"/>
              </w:rPr>
              <w:t>1 skyfos a vern. nera in frammenti.</w:t>
            </w:r>
          </w:p>
          <w:p w14:paraId="04AA7A39" w14:textId="77777777" w:rsidR="0042594F" w:rsidRPr="00F43DAF" w:rsidRDefault="00000000">
            <w:pPr>
              <w:rPr>
                <w:rFonts w:ascii="Titillium Web" w:hAnsi="Titillium Web"/>
                <w:i/>
                <w:iCs/>
                <w:szCs w:val="24"/>
              </w:rPr>
            </w:pPr>
            <w:r w:rsidRPr="00F43DAF">
              <w:rPr>
                <w:rFonts w:ascii="Titillium Web" w:hAnsi="Titillium Web"/>
                <w:i/>
                <w:iCs/>
                <w:szCs w:val="24"/>
              </w:rPr>
              <w:t>1 tazza a vern. nera, a piede largo, intera, lavoro accurato (entro la tazza erano ossa, costole?</w:t>
            </w:r>
          </w:p>
          <w:p w14:paraId="1B1F98F4" w14:textId="77777777" w:rsidR="0042594F" w:rsidRPr="00F43DAF" w:rsidRDefault="00000000">
            <w:pPr>
              <w:rPr>
                <w:rFonts w:ascii="Titillium Web" w:hAnsi="Titillium Web"/>
                <w:i/>
                <w:iCs/>
                <w:szCs w:val="24"/>
              </w:rPr>
            </w:pPr>
            <w:r w:rsidRPr="00F43DAF">
              <w:rPr>
                <w:rFonts w:ascii="Titillium Web" w:hAnsi="Titillium Web"/>
                <w:i/>
                <w:iCs/>
                <w:szCs w:val="24"/>
              </w:rPr>
              <w:t>di animale...?</w:t>
            </w:r>
          </w:p>
          <w:p w14:paraId="263B7D9E" w14:textId="77777777" w:rsidR="0042594F" w:rsidRPr="00F43DAF" w:rsidRDefault="00000000">
            <w:pPr>
              <w:rPr>
                <w:rFonts w:ascii="Titillium Web" w:hAnsi="Titillium Web"/>
                <w:i/>
                <w:iCs/>
                <w:szCs w:val="24"/>
              </w:rPr>
            </w:pPr>
            <w:r w:rsidRPr="00F43DAF">
              <w:rPr>
                <w:rFonts w:ascii="Titillium Web" w:hAnsi="Titillium Web"/>
                <w:i/>
                <w:iCs/>
                <w:szCs w:val="24"/>
              </w:rPr>
              <w:t>1 kylix a vern. nera, con pieduccio in frammenti</w:t>
            </w:r>
          </w:p>
          <w:p w14:paraId="534ED9FC" w14:textId="77777777" w:rsidR="0042594F" w:rsidRPr="00F43DAF" w:rsidRDefault="00000000">
            <w:pPr>
              <w:rPr>
                <w:rFonts w:ascii="Titillium Web" w:hAnsi="Titillium Web"/>
                <w:i/>
                <w:iCs/>
                <w:szCs w:val="24"/>
              </w:rPr>
            </w:pPr>
            <w:r w:rsidRPr="00F43DAF">
              <w:rPr>
                <w:rFonts w:ascii="Titillium Web" w:hAnsi="Titillium Web"/>
                <w:i/>
                <w:iCs/>
                <w:szCs w:val="24"/>
              </w:rPr>
              <w:t>2</w:t>
            </w:r>
            <w:r w:rsidRPr="00F43DAF">
              <w:rPr>
                <w:rFonts w:ascii="Titillium Web" w:hAnsi="Titillium Web"/>
                <w:i/>
                <w:iCs/>
                <w:szCs w:val="24"/>
              </w:rPr>
              <w:t xml:space="preserve"> piatti ad alto piede, di argilla giallo chiara, comune, grezzi, frammentati nel piede. Presso i piedi:</w:t>
            </w:r>
          </w:p>
          <w:p w14:paraId="130D6C3F" w14:textId="77777777" w:rsidR="0042594F" w:rsidRPr="00F43DAF" w:rsidRDefault="00000000">
            <w:pPr>
              <w:rPr>
                <w:rFonts w:ascii="Titillium Web" w:hAnsi="Titillium Web"/>
                <w:i/>
                <w:iCs/>
                <w:szCs w:val="24"/>
              </w:rPr>
            </w:pPr>
            <w:r w:rsidRPr="00F43DAF">
              <w:rPr>
                <w:rFonts w:ascii="Titillium Web" w:hAnsi="Titillium Web"/>
                <w:i/>
                <w:iCs/>
                <w:szCs w:val="24"/>
              </w:rPr>
              <w:t>1 lucernina piatta, circolare con dipinte due figure di satiro (frammentata)</w:t>
            </w:r>
          </w:p>
          <w:p w14:paraId="04FE5C3F" w14:textId="77777777" w:rsidR="0042594F" w:rsidRPr="00F43DAF" w:rsidRDefault="00000000">
            <w:pPr>
              <w:rPr>
                <w:rFonts w:ascii="Titillium Web" w:hAnsi="Titillium Web"/>
                <w:i/>
                <w:iCs/>
                <w:szCs w:val="24"/>
              </w:rPr>
            </w:pPr>
            <w:r w:rsidRPr="00F43DAF">
              <w:rPr>
                <w:rFonts w:ascii="Titillium Web" w:hAnsi="Titillium Web"/>
                <w:i/>
                <w:iCs/>
                <w:szCs w:val="24"/>
              </w:rPr>
              <w:t>= La sabbia appare a m 0,29 =</w:t>
            </w:r>
          </w:p>
        </w:tc>
      </w:tr>
      <w:tr w:rsidR="0086297F" w:rsidRPr="00F43DAF" w14:paraId="1429C2F3" w14:textId="77777777" w:rsidTr="002665C6">
        <w:trPr>
          <w:jc w:val="center"/>
        </w:trPr>
        <w:tc>
          <w:tcPr>
            <w:tcW w:w="1650" w:type="pct"/>
            <w:vAlign w:val="center"/>
          </w:tcPr>
          <w:p w14:paraId="7F398080"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lastRenderedPageBreak/>
              <w:t>Posizione del corredo</w:t>
            </w:r>
          </w:p>
        </w:tc>
        <w:tc>
          <w:tcPr>
            <w:tcW w:w="3350" w:type="pct"/>
            <w:vAlign w:val="center"/>
          </w:tcPr>
          <w:p w14:paraId="5C03ADA7" w14:textId="1C3602A3" w:rsidR="0086297F" w:rsidRPr="00F43DAF" w:rsidRDefault="002E0787" w:rsidP="002665C6">
            <w:pPr>
              <w:jc w:val="center"/>
              <w:rPr>
                <w:rFonts w:ascii="Titillium Web" w:hAnsi="Titillium Web"/>
                <w:szCs w:val="24"/>
              </w:rPr>
            </w:pPr>
            <w:r w:rsidRPr="002E0787">
              <w:rPr>
                <w:rFonts w:ascii="Titillium Web" w:hAnsi="Titillium Web"/>
                <w:szCs w:val="24"/>
              </w:rPr>
              <w:t>In gruppo/i attorno ai resti</w:t>
            </w:r>
          </w:p>
        </w:tc>
      </w:tr>
      <w:tr w:rsidR="0086297F" w:rsidRPr="00F43DAF" w14:paraId="71A0E4AF" w14:textId="77777777" w:rsidTr="002665C6">
        <w:trPr>
          <w:jc w:val="center"/>
        </w:trPr>
        <w:tc>
          <w:tcPr>
            <w:tcW w:w="1650" w:type="pct"/>
            <w:vAlign w:val="center"/>
          </w:tcPr>
          <w:p w14:paraId="2128B19B"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Genere (legato all’analisi del corredo)</w:t>
            </w:r>
          </w:p>
        </w:tc>
        <w:tc>
          <w:tcPr>
            <w:tcW w:w="3350" w:type="pct"/>
            <w:vAlign w:val="center"/>
          </w:tcPr>
          <w:p w14:paraId="31324C2B" w14:textId="4E55E405" w:rsidR="0086297F" w:rsidRPr="00F43DAF" w:rsidRDefault="0086297F" w:rsidP="002665C6">
            <w:pPr>
              <w:jc w:val="center"/>
              <w:rPr>
                <w:rFonts w:ascii="Titillium Web" w:hAnsi="Titillium Web"/>
                <w:szCs w:val="24"/>
              </w:rPr>
            </w:pPr>
            <w:r w:rsidRPr="00F43DAF">
              <w:rPr>
                <w:rFonts w:ascii="Titillium Web" w:hAnsi="Titillium Web"/>
                <w:szCs w:val="24"/>
              </w:rPr>
              <w:t>Non determinabile</w:t>
            </w:r>
          </w:p>
        </w:tc>
      </w:tr>
      <w:tr w:rsidR="0086297F" w:rsidRPr="00F43DAF" w14:paraId="17633947" w14:textId="77777777" w:rsidTr="002665C6">
        <w:trPr>
          <w:jc w:val="center"/>
        </w:trPr>
        <w:tc>
          <w:tcPr>
            <w:tcW w:w="1650" w:type="pct"/>
            <w:vAlign w:val="center"/>
          </w:tcPr>
          <w:p w14:paraId="44721053"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Sesso (legato alle analisi antropologiche)</w:t>
            </w:r>
          </w:p>
        </w:tc>
        <w:tc>
          <w:tcPr>
            <w:tcW w:w="3350" w:type="pct"/>
            <w:vAlign w:val="center"/>
          </w:tcPr>
          <w:p w14:paraId="66E918A4" w14:textId="50197FF0" w:rsidR="0086297F" w:rsidRPr="00F43DAF" w:rsidRDefault="0086297F" w:rsidP="002665C6">
            <w:pPr>
              <w:jc w:val="center"/>
              <w:rPr>
                <w:rFonts w:ascii="Titillium Web" w:hAnsi="Titillium Web"/>
                <w:szCs w:val="24"/>
              </w:rPr>
            </w:pPr>
            <w:r w:rsidRPr="00F43DAF">
              <w:rPr>
                <w:rFonts w:ascii="Titillium Web" w:hAnsi="Titillium Web"/>
                <w:szCs w:val="24"/>
              </w:rPr>
              <w:t>Non determinabile</w:t>
            </w:r>
          </w:p>
        </w:tc>
      </w:tr>
      <w:tr w:rsidR="0086297F" w:rsidRPr="00F43DAF" w14:paraId="0588946D" w14:textId="77777777" w:rsidTr="002665C6">
        <w:trPr>
          <w:jc w:val="center"/>
        </w:trPr>
        <w:tc>
          <w:tcPr>
            <w:tcW w:w="1650" w:type="pct"/>
            <w:vAlign w:val="center"/>
          </w:tcPr>
          <w:p w14:paraId="54990945"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Classi di età</w:t>
            </w:r>
          </w:p>
        </w:tc>
        <w:tc>
          <w:tcPr>
            <w:tcW w:w="3350" w:type="pct"/>
            <w:vAlign w:val="center"/>
          </w:tcPr>
          <w:p w14:paraId="0E0589EA" w14:textId="7D4DF825" w:rsidR="0086297F" w:rsidRPr="00F43DAF" w:rsidRDefault="0086297F" w:rsidP="002665C6">
            <w:pPr>
              <w:jc w:val="center"/>
              <w:rPr>
                <w:rFonts w:ascii="Titillium Web" w:hAnsi="Titillium Web"/>
                <w:szCs w:val="24"/>
              </w:rPr>
            </w:pPr>
            <w:r w:rsidRPr="00F43DAF">
              <w:rPr>
                <w:rFonts w:ascii="Titillium Web" w:hAnsi="Titillium Web"/>
                <w:szCs w:val="24"/>
              </w:rPr>
              <w:t>Adulto</w:t>
            </w:r>
          </w:p>
        </w:tc>
      </w:tr>
      <w:tr w:rsidR="0086297F" w:rsidRPr="00F43DAF" w14:paraId="1FFA88A1" w14:textId="77777777" w:rsidTr="002665C6">
        <w:trPr>
          <w:jc w:val="center"/>
        </w:trPr>
        <w:tc>
          <w:tcPr>
            <w:tcW w:w="1650" w:type="pct"/>
            <w:vAlign w:val="center"/>
          </w:tcPr>
          <w:p w14:paraId="63B2D8D6" w14:textId="77777777" w:rsidR="0086297F" w:rsidRPr="00F43DAF" w:rsidRDefault="0086297F" w:rsidP="002665C6">
            <w:pPr>
              <w:jc w:val="center"/>
              <w:rPr>
                <w:rFonts w:ascii="Titillium Web" w:hAnsi="Titillium Web"/>
                <w:smallCaps/>
                <w:szCs w:val="24"/>
              </w:rPr>
            </w:pPr>
            <w:r w:rsidRPr="00F43DAF">
              <w:rPr>
                <w:rFonts w:ascii="Titillium Web" w:hAnsi="Titillium Web"/>
                <w:smallCaps/>
                <w:szCs w:val="24"/>
              </w:rPr>
              <w:t>Bibliografia essenziale</w:t>
            </w:r>
          </w:p>
        </w:tc>
        <w:tc>
          <w:tcPr>
            <w:tcW w:w="3350" w:type="pct"/>
            <w:vAlign w:val="center"/>
          </w:tcPr>
          <w:p w14:paraId="2D258892" w14:textId="77777777" w:rsidR="0042594F" w:rsidRPr="00F43DAF" w:rsidRDefault="00000000" w:rsidP="00F43DAF">
            <w:pPr>
              <w:jc w:val="center"/>
              <w:rPr>
                <w:rFonts w:ascii="Titillium Web" w:hAnsi="Titillium Web"/>
                <w:szCs w:val="24"/>
              </w:rPr>
            </w:pPr>
            <w:r w:rsidRPr="00F43DAF">
              <w:rPr>
                <w:rFonts w:ascii="Titillium Web" w:eastAsia="Titillium" w:hAnsi="Titillium Web" w:cs="Titillium"/>
                <w:smallCaps/>
                <w:szCs w:val="24"/>
              </w:rPr>
              <w:t>Romagnoli</w:t>
            </w:r>
            <w:r w:rsidRPr="00F43DAF">
              <w:rPr>
                <w:rFonts w:ascii="Titillium Web" w:eastAsia="Titillium" w:hAnsi="Titillium Web" w:cs="Titillium"/>
                <w:szCs w:val="24"/>
              </w:rPr>
              <w:t xml:space="preserve"> 2015</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2E0787"/>
    <w:rsid w:val="0042594F"/>
    <w:rsid w:val="00472AF4"/>
    <w:rsid w:val="00551AF8"/>
    <w:rsid w:val="005B5AFF"/>
    <w:rsid w:val="006162A4"/>
    <w:rsid w:val="006346F7"/>
    <w:rsid w:val="006D6EFB"/>
    <w:rsid w:val="007145BC"/>
    <w:rsid w:val="00817269"/>
    <w:rsid w:val="0086297F"/>
    <w:rsid w:val="009E4922"/>
    <w:rsid w:val="00AB321D"/>
    <w:rsid w:val="00B165C4"/>
    <w:rsid w:val="00C21EE0"/>
    <w:rsid w:val="00C618ED"/>
    <w:rsid w:val="00D900AB"/>
    <w:rsid w:val="00D936E8"/>
    <w:rsid w:val="00E24633"/>
    <w:rsid w:val="00F43D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9</cp:revision>
  <dcterms:created xsi:type="dcterms:W3CDTF">2026-04-30T12:42:00Z</dcterms:created>
  <dcterms:modified xsi:type="dcterms:W3CDTF">2026-05-15T10:51:00Z</dcterms:modified>
</cp:coreProperties>
</file>