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F8408" w14:textId="0B5C78B4" w:rsidR="00472AF4" w:rsidRPr="00C30F5C" w:rsidRDefault="00014214" w:rsidP="001B5504">
      <w:pPr>
        <w:jc w:val="center"/>
        <w:rPr>
          <w:rFonts w:ascii="Titillium Web" w:hAnsi="Titillium Web"/>
          <w:b/>
          <w:bCs/>
          <w:sz w:val="28"/>
          <w:szCs w:val="24"/>
        </w:rPr>
      </w:pPr>
      <w:r w:rsidRPr="00C30F5C">
        <w:rPr>
          <w:rFonts w:ascii="Titillium Web" w:hAnsi="Titillium Web"/>
          <w:b/>
          <w:bCs/>
          <w:sz w:val="28"/>
          <w:szCs w:val="24"/>
        </w:rPr>
        <w:t>Valle Trebba – Tomba 38</w:t>
      </w:r>
    </w:p>
    <w:tbl>
      <w:tblPr>
        <w:tblStyle w:val="Grigliatabella"/>
        <w:tblW w:w="5000" w:type="pct"/>
        <w:jc w:val="center"/>
        <w:tblLook w:val="04A0" w:firstRow="1" w:lastRow="0" w:firstColumn="1" w:lastColumn="0" w:noHBand="0" w:noVBand="1"/>
      </w:tblPr>
      <w:tblGrid>
        <w:gridCol w:w="2990"/>
        <w:gridCol w:w="6070"/>
      </w:tblGrid>
      <w:tr w:rsidR="001B5504" w:rsidRPr="00246190" w14:paraId="7E897B51" w14:textId="77777777" w:rsidTr="001B5504">
        <w:trPr>
          <w:jc w:val="center"/>
        </w:trPr>
        <w:tc>
          <w:tcPr>
            <w:tcW w:w="1650" w:type="pct"/>
            <w:vAlign w:val="center"/>
          </w:tcPr>
          <w:p w14:paraId="42CC7784" w14:textId="77777777" w:rsidR="001B5504" w:rsidRPr="00246190" w:rsidRDefault="001B5504" w:rsidP="00BF212E">
            <w:pPr>
              <w:jc w:val="center"/>
              <w:rPr>
                <w:rFonts w:ascii="Titillium Web" w:hAnsi="Titillium Web"/>
                <w:smallCaps/>
                <w:szCs w:val="24"/>
              </w:rPr>
            </w:pPr>
            <w:r w:rsidRPr="00246190">
              <w:rPr>
                <w:rFonts w:ascii="Titillium Web" w:hAnsi="Titillium Web"/>
                <w:smallCaps/>
                <w:szCs w:val="24"/>
              </w:rPr>
              <w:t>Anno di rinvenimento</w:t>
            </w:r>
          </w:p>
        </w:tc>
        <w:tc>
          <w:tcPr>
            <w:tcW w:w="3350" w:type="pct"/>
            <w:vAlign w:val="center"/>
          </w:tcPr>
          <w:p w14:paraId="3911E4F6" w14:textId="6BFD1686" w:rsidR="001B5504" w:rsidRPr="00246190" w:rsidRDefault="001B5504" w:rsidP="00BF212E">
            <w:pPr>
              <w:jc w:val="center"/>
              <w:rPr>
                <w:rFonts w:ascii="Titillium Web" w:hAnsi="Titillium Web"/>
                <w:szCs w:val="24"/>
              </w:rPr>
            </w:pPr>
            <w:r w:rsidRPr="00246190">
              <w:rPr>
                <w:rFonts w:ascii="Titillium Web" w:hAnsi="Titillium Web"/>
                <w:szCs w:val="24"/>
              </w:rPr>
              <w:t>1922</w:t>
            </w:r>
          </w:p>
        </w:tc>
      </w:tr>
      <w:tr w:rsidR="001B5504" w:rsidRPr="00246190" w14:paraId="4120B077" w14:textId="77777777" w:rsidTr="001B5504">
        <w:trPr>
          <w:jc w:val="center"/>
        </w:trPr>
        <w:tc>
          <w:tcPr>
            <w:tcW w:w="1650" w:type="pct"/>
            <w:vAlign w:val="center"/>
          </w:tcPr>
          <w:p w14:paraId="7B4CDD57" w14:textId="77777777" w:rsidR="001B5504" w:rsidRPr="00246190" w:rsidRDefault="001B5504" w:rsidP="00BF212E">
            <w:pPr>
              <w:jc w:val="center"/>
              <w:rPr>
                <w:rFonts w:ascii="Titillium Web" w:hAnsi="Titillium Web"/>
                <w:smallCaps/>
                <w:szCs w:val="24"/>
              </w:rPr>
            </w:pPr>
            <w:r w:rsidRPr="00246190">
              <w:rPr>
                <w:rFonts w:ascii="Titillium Web" w:hAnsi="Titillium Web"/>
                <w:smallCaps/>
                <w:szCs w:val="24"/>
              </w:rPr>
              <w:t>Stato di conservazione della tomba</w:t>
            </w:r>
          </w:p>
        </w:tc>
        <w:tc>
          <w:tcPr>
            <w:tcW w:w="3350" w:type="pct"/>
            <w:vAlign w:val="center"/>
          </w:tcPr>
          <w:p w14:paraId="4ED449D1" w14:textId="67560E4F" w:rsidR="001B5504" w:rsidRPr="00246190" w:rsidRDefault="001B5504" w:rsidP="00BF212E">
            <w:pPr>
              <w:jc w:val="center"/>
              <w:rPr>
                <w:rFonts w:ascii="Titillium Web" w:hAnsi="Titillium Web"/>
                <w:szCs w:val="24"/>
              </w:rPr>
            </w:pPr>
            <w:r w:rsidRPr="00246190">
              <w:rPr>
                <w:rFonts w:ascii="Titillium Web" w:hAnsi="Titillium Web"/>
                <w:szCs w:val="24"/>
              </w:rPr>
              <w:t>Sconvolta</w:t>
            </w:r>
          </w:p>
        </w:tc>
      </w:tr>
      <w:tr w:rsidR="001B5504" w:rsidRPr="00246190" w14:paraId="7A448E9D" w14:textId="77777777" w:rsidTr="001B5504">
        <w:trPr>
          <w:jc w:val="center"/>
        </w:trPr>
        <w:tc>
          <w:tcPr>
            <w:tcW w:w="1650" w:type="pct"/>
            <w:vAlign w:val="center"/>
          </w:tcPr>
          <w:p w14:paraId="1E1EA165" w14:textId="77777777" w:rsidR="001B5504" w:rsidRPr="00246190" w:rsidRDefault="001B5504" w:rsidP="00BF212E">
            <w:pPr>
              <w:jc w:val="center"/>
              <w:rPr>
                <w:rFonts w:ascii="Titillium Web" w:hAnsi="Titillium Web"/>
                <w:smallCaps/>
                <w:szCs w:val="24"/>
              </w:rPr>
            </w:pPr>
            <w:r w:rsidRPr="00246190">
              <w:rPr>
                <w:rFonts w:ascii="Titillium Web" w:hAnsi="Titillium Web"/>
                <w:smallCaps/>
                <w:szCs w:val="24"/>
              </w:rPr>
              <w:t>Rito di seppellimento</w:t>
            </w:r>
          </w:p>
        </w:tc>
        <w:tc>
          <w:tcPr>
            <w:tcW w:w="3350" w:type="pct"/>
            <w:vAlign w:val="center"/>
          </w:tcPr>
          <w:p w14:paraId="18226334" w14:textId="4DAA4306" w:rsidR="001B5504" w:rsidRPr="00246190" w:rsidRDefault="00DB55CE" w:rsidP="00BF212E">
            <w:pPr>
              <w:jc w:val="center"/>
              <w:rPr>
                <w:rFonts w:ascii="Titillium Web" w:hAnsi="Titillium Web"/>
                <w:szCs w:val="24"/>
              </w:rPr>
            </w:pPr>
            <w:r w:rsidRPr="00246190">
              <w:rPr>
                <w:rFonts w:ascii="Titillium Web" w:hAnsi="Titillium Web"/>
                <w:szCs w:val="24"/>
              </w:rPr>
              <w:t>Inumazione</w:t>
            </w:r>
          </w:p>
        </w:tc>
      </w:tr>
      <w:tr w:rsidR="001B5504" w:rsidRPr="00246190" w14:paraId="31276AA4" w14:textId="77777777" w:rsidTr="001B5504">
        <w:trPr>
          <w:jc w:val="center"/>
        </w:trPr>
        <w:tc>
          <w:tcPr>
            <w:tcW w:w="1650" w:type="pct"/>
            <w:vAlign w:val="center"/>
          </w:tcPr>
          <w:p w14:paraId="33201D3D" w14:textId="77777777" w:rsidR="001B5504" w:rsidRPr="00246190" w:rsidRDefault="001B5504" w:rsidP="00BF212E">
            <w:pPr>
              <w:jc w:val="center"/>
              <w:rPr>
                <w:rFonts w:ascii="Titillium Web" w:hAnsi="Titillium Web"/>
                <w:smallCaps/>
                <w:szCs w:val="24"/>
              </w:rPr>
            </w:pPr>
            <w:r w:rsidRPr="00246190">
              <w:rPr>
                <w:rFonts w:ascii="Titillium Web" w:hAnsi="Titillium Web"/>
                <w:smallCaps/>
                <w:szCs w:val="24"/>
              </w:rPr>
              <w:t>Struttura tomba</w:t>
            </w:r>
          </w:p>
        </w:tc>
        <w:tc>
          <w:tcPr>
            <w:tcW w:w="3350" w:type="pct"/>
            <w:vAlign w:val="center"/>
          </w:tcPr>
          <w:p w14:paraId="720E7EE7" w14:textId="3E36BEBB" w:rsidR="001B5504" w:rsidRPr="00246190" w:rsidRDefault="001B5504" w:rsidP="00BF212E">
            <w:pPr>
              <w:jc w:val="center"/>
              <w:rPr>
                <w:rFonts w:ascii="Titillium Web" w:hAnsi="Titillium Web"/>
                <w:szCs w:val="24"/>
              </w:rPr>
            </w:pPr>
            <w:r w:rsidRPr="00246190">
              <w:rPr>
                <w:rFonts w:ascii="Titillium Web" w:hAnsi="Titillium Web"/>
                <w:szCs w:val="24"/>
              </w:rPr>
              <w:t>fossa semplice, forma non registrata</w:t>
            </w:r>
          </w:p>
        </w:tc>
      </w:tr>
      <w:tr w:rsidR="001B5504" w:rsidRPr="00246190" w14:paraId="07337DA2" w14:textId="77777777" w:rsidTr="001B5504">
        <w:trPr>
          <w:jc w:val="center"/>
        </w:trPr>
        <w:tc>
          <w:tcPr>
            <w:tcW w:w="1650" w:type="pct"/>
            <w:vAlign w:val="center"/>
          </w:tcPr>
          <w:p w14:paraId="5032DFD5" w14:textId="77777777" w:rsidR="001B5504" w:rsidRPr="00246190" w:rsidRDefault="001B5504" w:rsidP="00BF212E">
            <w:pPr>
              <w:jc w:val="center"/>
              <w:rPr>
                <w:rFonts w:ascii="Titillium Web" w:hAnsi="Titillium Web"/>
                <w:smallCaps/>
                <w:szCs w:val="24"/>
              </w:rPr>
            </w:pPr>
            <w:r w:rsidRPr="00246190">
              <w:rPr>
                <w:rFonts w:ascii="Titillium Web" w:hAnsi="Titillium Web"/>
                <w:smallCaps/>
                <w:szCs w:val="24"/>
              </w:rPr>
              <w:t>Profondità dal piano di campagna</w:t>
            </w:r>
          </w:p>
        </w:tc>
        <w:tc>
          <w:tcPr>
            <w:tcW w:w="3350" w:type="pct"/>
            <w:vAlign w:val="center"/>
          </w:tcPr>
          <w:p w14:paraId="4AC1C871" w14:textId="553FE193" w:rsidR="001B5504" w:rsidRPr="00246190" w:rsidRDefault="001B5504" w:rsidP="00BF212E">
            <w:pPr>
              <w:jc w:val="center"/>
              <w:rPr>
                <w:rFonts w:ascii="Titillium Web" w:hAnsi="Titillium Web"/>
                <w:szCs w:val="24"/>
              </w:rPr>
            </w:pPr>
            <w:r w:rsidRPr="00246190">
              <w:rPr>
                <w:rFonts w:ascii="Titillium Web" w:hAnsi="Titillium Web"/>
                <w:szCs w:val="24"/>
              </w:rPr>
              <w:t>0,15 m</w:t>
            </w:r>
          </w:p>
        </w:tc>
      </w:tr>
      <w:tr w:rsidR="001B5504" w:rsidRPr="00246190" w14:paraId="16F9D287" w14:textId="77777777" w:rsidTr="001B5504">
        <w:trPr>
          <w:jc w:val="center"/>
        </w:trPr>
        <w:tc>
          <w:tcPr>
            <w:tcW w:w="1650" w:type="pct"/>
            <w:vAlign w:val="center"/>
          </w:tcPr>
          <w:p w14:paraId="5D675683" w14:textId="77777777" w:rsidR="001B5504" w:rsidRPr="00246190" w:rsidRDefault="001B5504" w:rsidP="00BF212E">
            <w:pPr>
              <w:jc w:val="center"/>
              <w:rPr>
                <w:rFonts w:ascii="Titillium Web" w:hAnsi="Titillium Web"/>
                <w:smallCaps/>
                <w:szCs w:val="24"/>
              </w:rPr>
            </w:pPr>
            <w:r w:rsidRPr="00246190">
              <w:rPr>
                <w:rFonts w:ascii="Titillium Web" w:hAnsi="Titillium Web"/>
                <w:smallCaps/>
                <w:szCs w:val="24"/>
              </w:rPr>
              <w:t>Dimensioni della sepoltura</w:t>
            </w:r>
          </w:p>
        </w:tc>
        <w:tc>
          <w:tcPr>
            <w:tcW w:w="3350" w:type="pct"/>
            <w:vAlign w:val="center"/>
          </w:tcPr>
          <w:p w14:paraId="606ED54D" w14:textId="0EBDB5D9" w:rsidR="001B5504" w:rsidRPr="00246190" w:rsidRDefault="001B5504" w:rsidP="00BF212E">
            <w:pPr>
              <w:jc w:val="center"/>
              <w:rPr>
                <w:rFonts w:ascii="Titillium Web" w:hAnsi="Titillium Web"/>
                <w:szCs w:val="24"/>
              </w:rPr>
            </w:pPr>
            <w:r w:rsidRPr="00246190">
              <w:rPr>
                <w:rFonts w:ascii="Titillium Web" w:hAnsi="Titillium Web"/>
                <w:szCs w:val="24"/>
              </w:rPr>
              <w:t>Dimensioni non registrate</w:t>
            </w:r>
          </w:p>
        </w:tc>
      </w:tr>
      <w:tr w:rsidR="001B5504" w:rsidRPr="00246190" w14:paraId="3DCDE8C5" w14:textId="77777777" w:rsidTr="001B5504">
        <w:trPr>
          <w:jc w:val="center"/>
        </w:trPr>
        <w:tc>
          <w:tcPr>
            <w:tcW w:w="1650" w:type="pct"/>
            <w:vAlign w:val="center"/>
          </w:tcPr>
          <w:p w14:paraId="090E3992" w14:textId="77777777" w:rsidR="001B5504" w:rsidRPr="00246190" w:rsidRDefault="001B5504" w:rsidP="00BF212E">
            <w:pPr>
              <w:jc w:val="center"/>
              <w:rPr>
                <w:rFonts w:ascii="Titillium Web" w:hAnsi="Titillium Web"/>
                <w:smallCaps/>
                <w:szCs w:val="24"/>
              </w:rPr>
            </w:pPr>
            <w:r w:rsidRPr="00246190">
              <w:rPr>
                <w:rFonts w:ascii="Titillium Web" w:hAnsi="Titillium Web"/>
                <w:smallCaps/>
                <w:szCs w:val="24"/>
              </w:rPr>
              <w:t>Orientamento dello scheletro</w:t>
            </w:r>
          </w:p>
        </w:tc>
        <w:tc>
          <w:tcPr>
            <w:tcW w:w="3350" w:type="pct"/>
            <w:vAlign w:val="center"/>
          </w:tcPr>
          <w:p w14:paraId="01C3562F" w14:textId="1E8F4995" w:rsidR="001B5504" w:rsidRPr="00246190" w:rsidRDefault="001B5504" w:rsidP="00BF212E">
            <w:pPr>
              <w:jc w:val="center"/>
              <w:rPr>
                <w:rFonts w:ascii="Titillium Web" w:hAnsi="Titillium Web"/>
                <w:szCs w:val="24"/>
              </w:rPr>
            </w:pPr>
            <w:r w:rsidRPr="00246190">
              <w:rPr>
                <w:rFonts w:ascii="Titillium Web" w:hAnsi="Titillium Web"/>
                <w:szCs w:val="24"/>
              </w:rPr>
              <w:t>N</w:t>
            </w:r>
            <w:r w:rsidR="00B0778A" w:rsidRPr="00246190">
              <w:rPr>
                <w:rFonts w:ascii="Titillium Web" w:hAnsi="Titillium Web"/>
                <w:szCs w:val="24"/>
              </w:rPr>
              <w:t>W</w:t>
            </w:r>
            <w:r w:rsidRPr="00246190">
              <w:rPr>
                <w:rFonts w:ascii="Titillium Web" w:hAnsi="Titillium Web"/>
                <w:szCs w:val="24"/>
              </w:rPr>
              <w:t>-S</w:t>
            </w:r>
            <w:r w:rsidR="00B0778A" w:rsidRPr="00246190">
              <w:rPr>
                <w:rFonts w:ascii="Titillium Web" w:hAnsi="Titillium Web"/>
                <w:szCs w:val="24"/>
              </w:rPr>
              <w:t>E</w:t>
            </w:r>
          </w:p>
        </w:tc>
      </w:tr>
      <w:tr w:rsidR="001B5504" w:rsidRPr="00246190" w14:paraId="5978151F" w14:textId="77777777" w:rsidTr="001B5504">
        <w:trPr>
          <w:jc w:val="center"/>
        </w:trPr>
        <w:tc>
          <w:tcPr>
            <w:tcW w:w="1650" w:type="pct"/>
            <w:vAlign w:val="center"/>
          </w:tcPr>
          <w:p w14:paraId="1F67A10B" w14:textId="77777777" w:rsidR="001B5504" w:rsidRPr="00246190" w:rsidRDefault="001B5504" w:rsidP="00BF212E">
            <w:pPr>
              <w:jc w:val="center"/>
              <w:rPr>
                <w:rFonts w:ascii="Titillium Web" w:hAnsi="Titillium Web"/>
                <w:smallCaps/>
                <w:szCs w:val="24"/>
              </w:rPr>
            </w:pPr>
            <w:r w:rsidRPr="00246190">
              <w:rPr>
                <w:rFonts w:ascii="Titillium Web" w:hAnsi="Titillium Web"/>
                <w:smallCaps/>
                <w:szCs w:val="24"/>
              </w:rPr>
              <w:t>Segnacolo</w:t>
            </w:r>
          </w:p>
        </w:tc>
        <w:tc>
          <w:tcPr>
            <w:tcW w:w="3350" w:type="pct"/>
            <w:vAlign w:val="center"/>
          </w:tcPr>
          <w:p w14:paraId="6599D472" w14:textId="17DA2376" w:rsidR="001B5504" w:rsidRPr="00246190" w:rsidRDefault="00DB55CE" w:rsidP="00BF212E">
            <w:pPr>
              <w:jc w:val="center"/>
              <w:rPr>
                <w:rFonts w:ascii="Titillium Web" w:hAnsi="Titillium Web"/>
                <w:szCs w:val="24"/>
              </w:rPr>
            </w:pPr>
            <w:r w:rsidRPr="00246190">
              <w:rPr>
                <w:rFonts w:ascii="Titillium Web" w:hAnsi="Titillium Web"/>
                <w:szCs w:val="24"/>
              </w:rPr>
              <w:t>/</w:t>
            </w:r>
          </w:p>
        </w:tc>
      </w:tr>
      <w:tr w:rsidR="001B5504" w:rsidRPr="00246190" w14:paraId="28E05F99" w14:textId="77777777" w:rsidTr="001B5504">
        <w:trPr>
          <w:jc w:val="center"/>
        </w:trPr>
        <w:tc>
          <w:tcPr>
            <w:tcW w:w="1650" w:type="pct"/>
            <w:vAlign w:val="center"/>
          </w:tcPr>
          <w:p w14:paraId="6ECF1BD4" w14:textId="77777777" w:rsidR="001B5504" w:rsidRPr="00246190" w:rsidRDefault="001B5504" w:rsidP="001F2833">
            <w:pPr>
              <w:spacing w:before="120" w:after="120"/>
              <w:jc w:val="center"/>
              <w:rPr>
                <w:rFonts w:ascii="Titillium Web" w:hAnsi="Titillium Web"/>
                <w:smallCaps/>
                <w:szCs w:val="24"/>
              </w:rPr>
            </w:pPr>
            <w:r w:rsidRPr="00246190">
              <w:rPr>
                <w:rFonts w:ascii="Titillium Web" w:hAnsi="Titillium Web"/>
                <w:smallCaps/>
                <w:szCs w:val="24"/>
              </w:rPr>
              <w:t>Giornale di scavo (GdS)</w:t>
            </w:r>
          </w:p>
        </w:tc>
        <w:tc>
          <w:tcPr>
            <w:tcW w:w="3350" w:type="pct"/>
            <w:vAlign w:val="center"/>
          </w:tcPr>
          <w:p w14:paraId="1A6B7E7E" w14:textId="3F40E1FA" w:rsidR="001B5504" w:rsidRPr="00246190" w:rsidRDefault="001B5504" w:rsidP="00BF212E">
            <w:pPr>
              <w:jc w:val="left"/>
              <w:rPr>
                <w:rFonts w:ascii="Titillium Web" w:hAnsi="Titillium Web"/>
                <w:i/>
                <w:iCs/>
                <w:szCs w:val="24"/>
              </w:rPr>
            </w:pPr>
            <w:r w:rsidRPr="00246190">
              <w:rPr>
                <w:rFonts w:ascii="Titillium Web" w:hAnsi="Titillium Web"/>
                <w:i/>
                <w:iCs/>
                <w:szCs w:val="24"/>
              </w:rPr>
              <w:t>23 maggio -</w:t>
            </w:r>
            <w:r w:rsidRPr="00246190">
              <w:rPr>
                <w:rFonts w:ascii="Titillium Web" w:hAnsi="Titillium Web"/>
                <w:i/>
                <w:iCs/>
                <w:szCs w:val="24"/>
              </w:rPr>
              <w:br/>
              <w:t>Tomba 38 umata e saccheggiata</w:t>
            </w:r>
            <w:r w:rsidRPr="00246190">
              <w:rPr>
                <w:rFonts w:ascii="Titillium Web" w:hAnsi="Titillium Web"/>
                <w:i/>
                <w:iCs/>
                <w:szCs w:val="24"/>
              </w:rPr>
              <w:br/>
              <w:t>Ai margini del dosso, verso lev. (nella parte sud del dosso) sotto ad uno strato di m. 0,15 di alluvione, alla profondità di m. 0,45, appare uno scheletro scomposto che peraltro aveva la testa a nord (un po’ verso ovest.) e i piedi a sud (verso est.)</w:t>
            </w:r>
            <w:r w:rsidRPr="00246190">
              <w:rPr>
                <w:rFonts w:ascii="Titillium Web" w:hAnsi="Titillium Web"/>
                <w:i/>
                <w:iCs/>
                <w:szCs w:val="24"/>
              </w:rPr>
              <w:br/>
              <w:t>Presso lo scheletro si raccolse:</w:t>
            </w:r>
            <w:r w:rsidRPr="00246190">
              <w:rPr>
                <w:rFonts w:ascii="Titillium Web" w:hAnsi="Titillium Web"/>
                <w:i/>
                <w:iCs/>
                <w:szCs w:val="24"/>
              </w:rPr>
              <w:br/>
              <w:t>1 aryballos ovoidale, a vern. n. e con disegno di volatile intero</w:t>
            </w:r>
            <w:r w:rsidRPr="00246190">
              <w:rPr>
                <w:rFonts w:ascii="Titillium Web" w:hAnsi="Titillium Web"/>
                <w:i/>
                <w:iCs/>
                <w:szCs w:val="24"/>
              </w:rPr>
              <w:br/>
              <w:t>1 piattello ad alto piede, liscio, a vern. n., rotto.</w:t>
            </w:r>
            <w:r w:rsidRPr="00246190">
              <w:rPr>
                <w:rFonts w:ascii="Titillium Web" w:hAnsi="Titillium Web"/>
                <w:i/>
                <w:iCs/>
                <w:szCs w:val="24"/>
              </w:rPr>
              <w:br/>
              <w:t>1 tazzetta a vern. nera, piccolina, rotta –</w:t>
            </w:r>
            <w:r w:rsidRPr="00246190">
              <w:rPr>
                <w:rFonts w:ascii="Titillium Web" w:hAnsi="Titillium Web"/>
                <w:i/>
                <w:iCs/>
                <w:szCs w:val="24"/>
              </w:rPr>
              <w:br/>
              <w:t>La tomba dista m. 40 circa dalle 0-00</w:t>
            </w:r>
            <w:r w:rsidRPr="00246190">
              <w:rPr>
                <w:rFonts w:ascii="Titillium Web" w:hAnsi="Titillium Web"/>
                <w:i/>
                <w:iCs/>
                <w:szCs w:val="24"/>
              </w:rPr>
              <w:br/>
              <w:t>Presso questa tomba, a des. e a sin. (nord e sud.) erano avanzi di altre tombe sconvolte e completamente saccheggiate.</w:t>
            </w:r>
            <w:r w:rsidRPr="00246190">
              <w:rPr>
                <w:rFonts w:ascii="Titillium Web" w:hAnsi="Titillium Web"/>
                <w:i/>
                <w:iCs/>
                <w:szCs w:val="24"/>
              </w:rPr>
              <w:br/>
              <w:t>La testa dello scheletro della T. 38 è stata raccolta, ma è tutto frammentato: quando la sabbia bagnata di cui è pieno e che lo tiene unito si sarà asciugata; i pezzi del cranio cadranno da loro.</w:t>
            </w:r>
            <w:r w:rsidRPr="00246190">
              <w:rPr>
                <w:rFonts w:ascii="Titillium Web" w:hAnsi="Titillium Web"/>
                <w:i/>
                <w:iCs/>
                <w:szCs w:val="24"/>
              </w:rPr>
              <w:br/>
              <w:t>Visita dell’Ispettore in Valle Trebba –</w:t>
            </w:r>
          </w:p>
        </w:tc>
      </w:tr>
      <w:tr w:rsidR="001B5504" w:rsidRPr="00246190" w14:paraId="4CA65959" w14:textId="77777777" w:rsidTr="001B5504">
        <w:trPr>
          <w:jc w:val="center"/>
        </w:trPr>
        <w:tc>
          <w:tcPr>
            <w:tcW w:w="1650" w:type="pct"/>
            <w:vAlign w:val="center"/>
          </w:tcPr>
          <w:p w14:paraId="42C0306C" w14:textId="77777777" w:rsidR="001B5504" w:rsidRPr="00246190" w:rsidRDefault="001B5504" w:rsidP="00BF212E">
            <w:pPr>
              <w:jc w:val="center"/>
              <w:rPr>
                <w:rFonts w:ascii="Titillium Web" w:hAnsi="Titillium Web"/>
                <w:smallCaps/>
                <w:szCs w:val="24"/>
              </w:rPr>
            </w:pPr>
            <w:r w:rsidRPr="00246190">
              <w:rPr>
                <w:rFonts w:ascii="Titillium Web" w:hAnsi="Titillium Web"/>
                <w:smallCaps/>
                <w:szCs w:val="24"/>
              </w:rPr>
              <w:t>Corredo</w:t>
            </w:r>
          </w:p>
        </w:tc>
        <w:tc>
          <w:tcPr>
            <w:tcW w:w="3350" w:type="pct"/>
            <w:vAlign w:val="center"/>
          </w:tcPr>
          <w:p w14:paraId="154D920D" w14:textId="77777777" w:rsidR="001B5504" w:rsidRPr="00246190" w:rsidRDefault="004E4BBA" w:rsidP="00A02BB9">
            <w:pPr>
              <w:jc w:val="center"/>
              <w:rPr>
                <w:rFonts w:ascii="Titillium Web" w:hAnsi="Titillium Web" w:cs="Times New Roman"/>
                <w:color w:val="000000" w:themeColor="text1"/>
                <w:szCs w:val="24"/>
              </w:rPr>
            </w:pPr>
            <w:r w:rsidRPr="00246190">
              <w:rPr>
                <w:rFonts w:ascii="Titillium Web" w:hAnsi="Titillium Web" w:cs="Times New Roman"/>
                <w:szCs w:val="24"/>
              </w:rPr>
              <w:t xml:space="preserve">La sepoltura dovette subire un saccheggio in epoca antica, poiché gli oggetti di accompagno furono rinvenuti mescolati alle ossa del defunto. </w:t>
            </w:r>
            <w:r w:rsidR="00447CED" w:rsidRPr="00246190">
              <w:rPr>
                <w:rFonts w:ascii="Titillium Web" w:hAnsi="Titillium Web" w:cs="Times New Roman"/>
                <w:color w:val="000000" w:themeColor="text1"/>
                <w:szCs w:val="24"/>
              </w:rPr>
              <w:t xml:space="preserve">Del corredo si conservano tutti i vasi </w:t>
            </w:r>
            <w:r w:rsidRPr="00246190">
              <w:rPr>
                <w:rFonts w:ascii="Titillium Web" w:hAnsi="Titillium Web" w:cs="Times New Roman"/>
                <w:color w:val="000000" w:themeColor="text1"/>
                <w:szCs w:val="24"/>
              </w:rPr>
              <w:t>elencati</w:t>
            </w:r>
            <w:r w:rsidR="00447CED" w:rsidRPr="00246190">
              <w:rPr>
                <w:rFonts w:ascii="Titillium Web" w:hAnsi="Titillium Web" w:cs="Times New Roman"/>
                <w:color w:val="000000" w:themeColor="text1"/>
                <w:szCs w:val="24"/>
              </w:rPr>
              <w:t xml:space="preserve"> dal Proni: due vasi attici, una </w:t>
            </w:r>
            <w:r w:rsidR="00447CED" w:rsidRPr="00246190">
              <w:rPr>
                <w:rFonts w:ascii="Titillium Web" w:hAnsi="Titillium Web" w:cs="Times New Roman"/>
                <w:i/>
                <w:iCs/>
                <w:color w:val="000000" w:themeColor="text1"/>
                <w:szCs w:val="24"/>
              </w:rPr>
              <w:t>lekythos</w:t>
            </w:r>
            <w:r w:rsidR="00447CED" w:rsidRPr="00246190">
              <w:rPr>
                <w:rFonts w:ascii="Titillium Web" w:hAnsi="Titillium Web" w:cs="Times New Roman"/>
                <w:color w:val="000000" w:themeColor="text1"/>
                <w:szCs w:val="24"/>
              </w:rPr>
              <w:t xml:space="preserve"> a </w:t>
            </w:r>
            <w:proofErr w:type="spellStart"/>
            <w:r w:rsidR="00447CED" w:rsidRPr="00246190">
              <w:rPr>
                <w:rFonts w:ascii="Titillium Web" w:hAnsi="Titillium Web" w:cs="Times New Roman"/>
                <w:color w:val="000000" w:themeColor="text1"/>
                <w:szCs w:val="24"/>
              </w:rPr>
              <w:t>f.r</w:t>
            </w:r>
            <w:proofErr w:type="spellEnd"/>
            <w:r w:rsidR="00447CED" w:rsidRPr="00246190">
              <w:rPr>
                <w:rFonts w:ascii="Titillium Web" w:hAnsi="Titillium Web" w:cs="Times New Roman"/>
                <w:color w:val="000000" w:themeColor="text1"/>
                <w:szCs w:val="24"/>
              </w:rPr>
              <w:t>. ed una ciotola a v.n. locale (n. 1-3).</w:t>
            </w:r>
          </w:p>
          <w:p w14:paraId="6FE22194" w14:textId="77777777" w:rsidR="004639C4" w:rsidRPr="00246190" w:rsidRDefault="004639C4" w:rsidP="00A02BB9">
            <w:pPr>
              <w:jc w:val="center"/>
              <w:rPr>
                <w:rFonts w:ascii="Titillium Web" w:hAnsi="Titillium Web"/>
                <w:szCs w:val="24"/>
              </w:rPr>
            </w:pPr>
            <w:r w:rsidRPr="00246190">
              <w:rPr>
                <w:rFonts w:ascii="Titillium Web" w:hAnsi="Titillium Web"/>
                <w:szCs w:val="24"/>
              </w:rPr>
              <w:t xml:space="preserve">1. Lekythos </w:t>
            </w:r>
            <w:proofErr w:type="spellStart"/>
            <w:r w:rsidRPr="00246190">
              <w:rPr>
                <w:rFonts w:ascii="Titillium Web" w:hAnsi="Titillium Web"/>
                <w:szCs w:val="24"/>
              </w:rPr>
              <w:t>aryballica</w:t>
            </w:r>
            <w:proofErr w:type="spellEnd"/>
            <w:r w:rsidRPr="00246190">
              <w:rPr>
                <w:rFonts w:ascii="Titillium Web" w:hAnsi="Titillium Web"/>
                <w:szCs w:val="24"/>
              </w:rPr>
              <w:t xml:space="preserve"> attica (IG 708;</w:t>
            </w:r>
            <w:r w:rsidR="0074475C" w:rsidRPr="00246190">
              <w:rPr>
                <w:rFonts w:ascii="Titillium Web" w:hAnsi="Titillium Web"/>
                <w:szCs w:val="24"/>
              </w:rPr>
              <w:t xml:space="preserve"> figure rosse)</w:t>
            </w:r>
          </w:p>
          <w:p w14:paraId="54EC32A2" w14:textId="77777777" w:rsidR="0074475C" w:rsidRPr="00246190" w:rsidRDefault="009E4910" w:rsidP="00A02BB9">
            <w:pPr>
              <w:jc w:val="center"/>
              <w:rPr>
                <w:rFonts w:ascii="Titillium Web" w:hAnsi="Titillium Web"/>
                <w:szCs w:val="24"/>
              </w:rPr>
            </w:pPr>
            <w:r w:rsidRPr="00246190">
              <w:rPr>
                <w:rFonts w:ascii="Titillium Web" w:hAnsi="Titillium Web"/>
                <w:szCs w:val="24"/>
              </w:rPr>
              <w:t>2. Ciotola attica (IG 709; vernice nera)</w:t>
            </w:r>
          </w:p>
          <w:p w14:paraId="5EE32F9C" w14:textId="2FBCCF83" w:rsidR="009E4910" w:rsidRPr="00246190" w:rsidRDefault="009E4910" w:rsidP="00A02BB9">
            <w:pPr>
              <w:jc w:val="center"/>
              <w:rPr>
                <w:rFonts w:ascii="Titillium Web" w:hAnsi="Titillium Web"/>
                <w:szCs w:val="24"/>
              </w:rPr>
            </w:pPr>
            <w:r w:rsidRPr="00246190">
              <w:rPr>
                <w:rFonts w:ascii="Titillium Web" w:hAnsi="Titillium Web"/>
                <w:szCs w:val="24"/>
              </w:rPr>
              <w:lastRenderedPageBreak/>
              <w:t xml:space="preserve">3. Piattello di produzione locale su alto piede (IG 710; </w:t>
            </w:r>
            <w:r w:rsidR="00A02BB9" w:rsidRPr="00246190">
              <w:rPr>
                <w:rFonts w:ascii="Titillium Web" w:hAnsi="Titillium Web"/>
                <w:szCs w:val="24"/>
              </w:rPr>
              <w:t>vernice nera)</w:t>
            </w:r>
          </w:p>
        </w:tc>
      </w:tr>
      <w:tr w:rsidR="001B5504" w:rsidRPr="00246190" w14:paraId="520D9732" w14:textId="77777777" w:rsidTr="001B5504">
        <w:trPr>
          <w:jc w:val="center"/>
        </w:trPr>
        <w:tc>
          <w:tcPr>
            <w:tcW w:w="1650" w:type="pct"/>
            <w:vAlign w:val="center"/>
          </w:tcPr>
          <w:p w14:paraId="24BE97D5" w14:textId="77777777" w:rsidR="001B5504" w:rsidRPr="00246190" w:rsidRDefault="001B5504" w:rsidP="00BF212E">
            <w:pPr>
              <w:jc w:val="center"/>
              <w:rPr>
                <w:rFonts w:ascii="Titillium Web" w:hAnsi="Titillium Web"/>
                <w:smallCaps/>
                <w:szCs w:val="24"/>
              </w:rPr>
            </w:pPr>
            <w:r w:rsidRPr="00246190">
              <w:rPr>
                <w:rFonts w:ascii="Titillium Web" w:hAnsi="Titillium Web"/>
                <w:smallCaps/>
                <w:szCs w:val="24"/>
              </w:rPr>
              <w:lastRenderedPageBreak/>
              <w:t>Posizione del corredo</w:t>
            </w:r>
          </w:p>
        </w:tc>
        <w:tc>
          <w:tcPr>
            <w:tcW w:w="3350" w:type="pct"/>
            <w:vAlign w:val="center"/>
          </w:tcPr>
          <w:p w14:paraId="3ED37A74" w14:textId="7C84806E" w:rsidR="001B5504" w:rsidRPr="00246190" w:rsidRDefault="004A4AC6" w:rsidP="00BF212E">
            <w:pPr>
              <w:jc w:val="center"/>
              <w:rPr>
                <w:rFonts w:ascii="Titillium Web" w:hAnsi="Titillium Web"/>
                <w:szCs w:val="24"/>
              </w:rPr>
            </w:pPr>
            <w:r w:rsidRPr="00246190">
              <w:rPr>
                <w:rFonts w:ascii="Titillium Web" w:hAnsi="Titillium Web"/>
                <w:szCs w:val="24"/>
              </w:rPr>
              <w:t>Mescolati alle ossa del defunto</w:t>
            </w:r>
          </w:p>
        </w:tc>
      </w:tr>
      <w:tr w:rsidR="001B5504" w:rsidRPr="00246190" w14:paraId="05ACB002" w14:textId="77777777" w:rsidTr="001B5504">
        <w:trPr>
          <w:jc w:val="center"/>
        </w:trPr>
        <w:tc>
          <w:tcPr>
            <w:tcW w:w="1650" w:type="pct"/>
            <w:vAlign w:val="center"/>
          </w:tcPr>
          <w:p w14:paraId="6E6E37F2" w14:textId="77777777" w:rsidR="001B5504" w:rsidRPr="00246190" w:rsidRDefault="001B5504" w:rsidP="00BF212E">
            <w:pPr>
              <w:jc w:val="center"/>
              <w:rPr>
                <w:rFonts w:ascii="Titillium Web" w:hAnsi="Titillium Web"/>
                <w:smallCaps/>
                <w:szCs w:val="24"/>
              </w:rPr>
            </w:pPr>
            <w:r w:rsidRPr="00246190">
              <w:rPr>
                <w:rFonts w:ascii="Titillium Web" w:hAnsi="Titillium Web"/>
                <w:smallCaps/>
                <w:szCs w:val="24"/>
              </w:rPr>
              <w:t>Stato di conservazione e affidabilità del corredo</w:t>
            </w:r>
          </w:p>
        </w:tc>
        <w:tc>
          <w:tcPr>
            <w:tcW w:w="3350" w:type="pct"/>
            <w:vAlign w:val="center"/>
          </w:tcPr>
          <w:p w14:paraId="66E8A271" w14:textId="5D052ECE" w:rsidR="001B5504" w:rsidRPr="00246190" w:rsidRDefault="00246190" w:rsidP="00BF212E">
            <w:pPr>
              <w:jc w:val="center"/>
              <w:rPr>
                <w:rFonts w:ascii="Titillium Web" w:hAnsi="Titillium Web"/>
                <w:szCs w:val="24"/>
              </w:rPr>
            </w:pPr>
            <w:r w:rsidRPr="00246190">
              <w:rPr>
                <w:rFonts w:ascii="Titillium Web" w:hAnsi="Titillium Web" w:cs="Times New Roman"/>
                <w:color w:val="000000" w:themeColor="text1"/>
                <w:szCs w:val="24"/>
              </w:rPr>
              <w:t>Gli oggetti recuperati dallo scavatore e registrati nell’IG inquadrano la sepoltura in un arco cronologico piuttosto ampio, dalla fine del V agli inizi del III sec. a.C. È verosimile che tali materiali siano stati rimescolati in seguito ai saccheggi che interessarono l’area, rendendo ormai impossibile ricostruire con certezza la composizione originaria del corredo.</w:t>
            </w:r>
          </w:p>
        </w:tc>
      </w:tr>
      <w:tr w:rsidR="001B5504" w:rsidRPr="00246190" w14:paraId="6E424069" w14:textId="77777777" w:rsidTr="001B5504">
        <w:trPr>
          <w:jc w:val="center"/>
        </w:trPr>
        <w:tc>
          <w:tcPr>
            <w:tcW w:w="1650" w:type="pct"/>
            <w:vAlign w:val="center"/>
          </w:tcPr>
          <w:p w14:paraId="4CE8DFDE" w14:textId="77777777" w:rsidR="001B5504" w:rsidRPr="00246190" w:rsidRDefault="001B5504" w:rsidP="00BF212E">
            <w:pPr>
              <w:jc w:val="center"/>
              <w:rPr>
                <w:rFonts w:ascii="Titillium Web" w:hAnsi="Titillium Web"/>
                <w:smallCaps/>
                <w:szCs w:val="24"/>
              </w:rPr>
            </w:pPr>
            <w:r w:rsidRPr="00246190">
              <w:rPr>
                <w:rFonts w:ascii="Titillium Web" w:hAnsi="Titillium Web"/>
                <w:smallCaps/>
                <w:szCs w:val="24"/>
              </w:rPr>
              <w:t>Genere (legato all’analisi del corredo)</w:t>
            </w:r>
          </w:p>
        </w:tc>
        <w:tc>
          <w:tcPr>
            <w:tcW w:w="3350" w:type="pct"/>
            <w:vAlign w:val="center"/>
          </w:tcPr>
          <w:p w14:paraId="04E55D8B" w14:textId="15D5D226" w:rsidR="001B5504" w:rsidRPr="00246190" w:rsidRDefault="001B5504" w:rsidP="00BF212E">
            <w:pPr>
              <w:jc w:val="center"/>
              <w:rPr>
                <w:rFonts w:ascii="Titillium Web" w:hAnsi="Titillium Web"/>
                <w:szCs w:val="24"/>
              </w:rPr>
            </w:pPr>
            <w:r w:rsidRPr="00246190">
              <w:rPr>
                <w:rFonts w:ascii="Titillium Web" w:hAnsi="Titillium Web"/>
                <w:szCs w:val="24"/>
              </w:rPr>
              <w:t>Non determinabile</w:t>
            </w:r>
          </w:p>
        </w:tc>
      </w:tr>
      <w:tr w:rsidR="001B5504" w:rsidRPr="00246190" w14:paraId="7C1BF645" w14:textId="77777777" w:rsidTr="001B5504">
        <w:trPr>
          <w:jc w:val="center"/>
        </w:trPr>
        <w:tc>
          <w:tcPr>
            <w:tcW w:w="1650" w:type="pct"/>
            <w:vAlign w:val="center"/>
          </w:tcPr>
          <w:p w14:paraId="7EADEEB5" w14:textId="77777777" w:rsidR="001B5504" w:rsidRPr="00246190" w:rsidRDefault="001B5504" w:rsidP="00BF212E">
            <w:pPr>
              <w:jc w:val="center"/>
              <w:rPr>
                <w:rFonts w:ascii="Titillium Web" w:hAnsi="Titillium Web"/>
                <w:smallCaps/>
                <w:szCs w:val="24"/>
              </w:rPr>
            </w:pPr>
            <w:r w:rsidRPr="00246190">
              <w:rPr>
                <w:rFonts w:ascii="Titillium Web" w:hAnsi="Titillium Web"/>
                <w:smallCaps/>
                <w:szCs w:val="24"/>
              </w:rPr>
              <w:t>Sesso (legato alle analisi antropologiche)</w:t>
            </w:r>
          </w:p>
        </w:tc>
        <w:tc>
          <w:tcPr>
            <w:tcW w:w="3350" w:type="pct"/>
            <w:vAlign w:val="center"/>
          </w:tcPr>
          <w:p w14:paraId="5D17FB99" w14:textId="46EBB367" w:rsidR="001B5504" w:rsidRPr="00246190" w:rsidRDefault="001B5504" w:rsidP="00BF212E">
            <w:pPr>
              <w:jc w:val="center"/>
              <w:rPr>
                <w:rFonts w:ascii="Titillium Web" w:hAnsi="Titillium Web"/>
                <w:szCs w:val="24"/>
              </w:rPr>
            </w:pPr>
            <w:r w:rsidRPr="00246190">
              <w:rPr>
                <w:rFonts w:ascii="Titillium Web" w:hAnsi="Titillium Web"/>
                <w:szCs w:val="24"/>
              </w:rPr>
              <w:t>Non determinabile</w:t>
            </w:r>
          </w:p>
        </w:tc>
      </w:tr>
      <w:tr w:rsidR="001B5504" w:rsidRPr="00246190" w14:paraId="498C4222" w14:textId="77777777" w:rsidTr="001B5504">
        <w:trPr>
          <w:jc w:val="center"/>
        </w:trPr>
        <w:tc>
          <w:tcPr>
            <w:tcW w:w="1650" w:type="pct"/>
            <w:vAlign w:val="center"/>
          </w:tcPr>
          <w:p w14:paraId="57C39F2A" w14:textId="77777777" w:rsidR="001B5504" w:rsidRPr="00246190" w:rsidRDefault="001B5504" w:rsidP="00BF212E">
            <w:pPr>
              <w:jc w:val="center"/>
              <w:rPr>
                <w:rFonts w:ascii="Titillium Web" w:hAnsi="Titillium Web"/>
                <w:smallCaps/>
                <w:szCs w:val="24"/>
              </w:rPr>
            </w:pPr>
            <w:r w:rsidRPr="00246190">
              <w:rPr>
                <w:rFonts w:ascii="Titillium Web" w:hAnsi="Titillium Web"/>
                <w:smallCaps/>
                <w:szCs w:val="24"/>
              </w:rPr>
              <w:t>Classi di età</w:t>
            </w:r>
          </w:p>
        </w:tc>
        <w:tc>
          <w:tcPr>
            <w:tcW w:w="3350" w:type="pct"/>
            <w:vAlign w:val="center"/>
          </w:tcPr>
          <w:p w14:paraId="3FA8CB4E" w14:textId="5B4E47B7" w:rsidR="001B5504" w:rsidRPr="00246190" w:rsidRDefault="001B5504" w:rsidP="00BF212E">
            <w:pPr>
              <w:jc w:val="center"/>
              <w:rPr>
                <w:rFonts w:ascii="Titillium Web" w:hAnsi="Titillium Web"/>
                <w:szCs w:val="24"/>
              </w:rPr>
            </w:pPr>
            <w:r w:rsidRPr="00246190">
              <w:rPr>
                <w:rFonts w:ascii="Titillium Web" w:hAnsi="Titillium Web"/>
                <w:szCs w:val="24"/>
              </w:rPr>
              <w:t>Non determinabile</w:t>
            </w:r>
          </w:p>
        </w:tc>
      </w:tr>
      <w:tr w:rsidR="001B5504" w:rsidRPr="00246190" w14:paraId="698056B7" w14:textId="77777777" w:rsidTr="001B5504">
        <w:trPr>
          <w:jc w:val="center"/>
        </w:trPr>
        <w:tc>
          <w:tcPr>
            <w:tcW w:w="1650" w:type="pct"/>
            <w:vAlign w:val="center"/>
          </w:tcPr>
          <w:p w14:paraId="225E12C1" w14:textId="77777777" w:rsidR="001B5504" w:rsidRPr="00246190" w:rsidRDefault="001B5504" w:rsidP="00BF212E">
            <w:pPr>
              <w:jc w:val="center"/>
              <w:rPr>
                <w:rFonts w:ascii="Titillium Web" w:hAnsi="Titillium Web"/>
                <w:smallCaps/>
                <w:szCs w:val="24"/>
              </w:rPr>
            </w:pPr>
            <w:r w:rsidRPr="00246190">
              <w:rPr>
                <w:rFonts w:ascii="Titillium Web" w:hAnsi="Titillium Web"/>
                <w:smallCaps/>
                <w:szCs w:val="24"/>
              </w:rPr>
              <w:t>Cronologia</w:t>
            </w:r>
          </w:p>
        </w:tc>
        <w:tc>
          <w:tcPr>
            <w:tcW w:w="3350" w:type="pct"/>
            <w:vAlign w:val="center"/>
          </w:tcPr>
          <w:p w14:paraId="440AB2F6" w14:textId="65221464" w:rsidR="001B5504" w:rsidRPr="00246190" w:rsidRDefault="001B5504" w:rsidP="00BF212E">
            <w:pPr>
              <w:jc w:val="center"/>
              <w:rPr>
                <w:rFonts w:ascii="Titillium Web" w:hAnsi="Titillium Web"/>
                <w:szCs w:val="24"/>
              </w:rPr>
            </w:pPr>
            <w:r w:rsidRPr="00246190">
              <w:rPr>
                <w:rFonts w:ascii="Titillium Web" w:hAnsi="Titillium Web"/>
                <w:szCs w:val="24"/>
              </w:rPr>
              <w:t>Fine V-inizi IV sec. a.C.</w:t>
            </w:r>
          </w:p>
        </w:tc>
      </w:tr>
      <w:tr w:rsidR="001B5504" w:rsidRPr="00246190" w14:paraId="3105DEE4" w14:textId="77777777" w:rsidTr="001B5504">
        <w:trPr>
          <w:jc w:val="center"/>
        </w:trPr>
        <w:tc>
          <w:tcPr>
            <w:tcW w:w="1650" w:type="pct"/>
            <w:vAlign w:val="center"/>
          </w:tcPr>
          <w:p w14:paraId="2DF8B210" w14:textId="77777777" w:rsidR="001B5504" w:rsidRPr="00246190" w:rsidRDefault="001B5504" w:rsidP="00BF212E">
            <w:pPr>
              <w:jc w:val="center"/>
              <w:rPr>
                <w:rFonts w:ascii="Titillium Web" w:hAnsi="Titillium Web"/>
                <w:smallCaps/>
                <w:szCs w:val="24"/>
              </w:rPr>
            </w:pPr>
            <w:r w:rsidRPr="00246190">
              <w:rPr>
                <w:rFonts w:ascii="Titillium Web" w:hAnsi="Titillium Web"/>
                <w:smallCaps/>
                <w:szCs w:val="24"/>
              </w:rPr>
              <w:t>Bibliografia (della tomba)</w:t>
            </w:r>
          </w:p>
        </w:tc>
        <w:tc>
          <w:tcPr>
            <w:tcW w:w="3350" w:type="pct"/>
            <w:vAlign w:val="center"/>
          </w:tcPr>
          <w:p w14:paraId="38D3D101" w14:textId="34D82BBE" w:rsidR="001B5504" w:rsidRPr="00246190" w:rsidRDefault="00810DEA" w:rsidP="00BF212E">
            <w:pPr>
              <w:jc w:val="center"/>
              <w:rPr>
                <w:rFonts w:ascii="Titillium Web" w:hAnsi="Titillium Web"/>
                <w:szCs w:val="24"/>
              </w:rPr>
            </w:pPr>
            <w:r>
              <w:rPr>
                <w:rFonts w:ascii="Titillium Web" w:hAnsi="Titillium Web"/>
                <w:szCs w:val="24"/>
              </w:rPr>
              <w:t>/</w:t>
            </w:r>
          </w:p>
        </w:tc>
      </w:tr>
      <w:tr w:rsidR="001B5504" w:rsidRPr="00246190" w14:paraId="6887A6E3" w14:textId="77777777" w:rsidTr="001B5504">
        <w:trPr>
          <w:jc w:val="center"/>
        </w:trPr>
        <w:tc>
          <w:tcPr>
            <w:tcW w:w="1650" w:type="pct"/>
            <w:vAlign w:val="center"/>
          </w:tcPr>
          <w:p w14:paraId="4944AE43" w14:textId="77777777" w:rsidR="001B5504" w:rsidRPr="00246190" w:rsidRDefault="001B5504" w:rsidP="00BF212E">
            <w:pPr>
              <w:jc w:val="center"/>
              <w:rPr>
                <w:rFonts w:ascii="Titillium Web" w:hAnsi="Titillium Web"/>
                <w:smallCaps/>
                <w:szCs w:val="24"/>
              </w:rPr>
            </w:pPr>
            <w:r w:rsidRPr="00246190">
              <w:rPr>
                <w:rFonts w:ascii="Titillium Web" w:hAnsi="Titillium Web"/>
                <w:smallCaps/>
                <w:szCs w:val="24"/>
              </w:rPr>
              <w:t>Link alla pubblicazione</w:t>
            </w:r>
          </w:p>
        </w:tc>
        <w:tc>
          <w:tcPr>
            <w:tcW w:w="3350" w:type="pct"/>
            <w:vAlign w:val="center"/>
          </w:tcPr>
          <w:p w14:paraId="6ADE2D95" w14:textId="5EBDA977" w:rsidR="001B5504" w:rsidRPr="00246190" w:rsidRDefault="001B5504" w:rsidP="00BF212E">
            <w:pPr>
              <w:jc w:val="center"/>
              <w:rPr>
                <w:rFonts w:ascii="Titillium Web" w:hAnsi="Titillium Web"/>
                <w:szCs w:val="24"/>
              </w:rPr>
            </w:pPr>
          </w:p>
        </w:tc>
      </w:tr>
    </w:tbl>
    <w:p w14:paraId="4DC97993" w14:textId="77777777" w:rsidR="001B5504" w:rsidRPr="00C30F5C" w:rsidRDefault="001B5504" w:rsidP="001B5504">
      <w:pPr>
        <w:jc w:val="center"/>
        <w:rPr>
          <w:rFonts w:ascii="Titillium Web" w:hAnsi="Titillium Web"/>
          <w:b/>
          <w:bCs/>
          <w:sz w:val="28"/>
          <w:szCs w:val="24"/>
        </w:rPr>
      </w:pPr>
    </w:p>
    <w:sectPr w:rsidR="001B5504" w:rsidRPr="00C30F5C"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35997"/>
    <w:multiLevelType w:val="hybridMultilevel"/>
    <w:tmpl w:val="C2DE6EE8"/>
    <w:lvl w:ilvl="0" w:tplc="FD9E36EE">
      <w:start w:val="13"/>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7195BB3"/>
    <w:multiLevelType w:val="hybridMultilevel"/>
    <w:tmpl w:val="6C4E81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43980534">
    <w:abstractNumId w:val="0"/>
  </w:num>
  <w:num w:numId="2" w16cid:durableId="1139692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B2D"/>
    <w:rsid w:val="00014214"/>
    <w:rsid w:val="000D72F4"/>
    <w:rsid w:val="001230C8"/>
    <w:rsid w:val="00131D71"/>
    <w:rsid w:val="001B5504"/>
    <w:rsid w:val="001F2833"/>
    <w:rsid w:val="00246190"/>
    <w:rsid w:val="0029024B"/>
    <w:rsid w:val="002977D7"/>
    <w:rsid w:val="002F1500"/>
    <w:rsid w:val="00447CED"/>
    <w:rsid w:val="004639C4"/>
    <w:rsid w:val="00472AF4"/>
    <w:rsid w:val="004A4AC6"/>
    <w:rsid w:val="004E4BBA"/>
    <w:rsid w:val="005B5AFF"/>
    <w:rsid w:val="0068458A"/>
    <w:rsid w:val="00710B38"/>
    <w:rsid w:val="007145BC"/>
    <w:rsid w:val="0074475C"/>
    <w:rsid w:val="007D54CD"/>
    <w:rsid w:val="00810DEA"/>
    <w:rsid w:val="00942E70"/>
    <w:rsid w:val="00943EAC"/>
    <w:rsid w:val="00950348"/>
    <w:rsid w:val="00975CA9"/>
    <w:rsid w:val="00997946"/>
    <w:rsid w:val="009E4910"/>
    <w:rsid w:val="009E4922"/>
    <w:rsid w:val="00A02BB9"/>
    <w:rsid w:val="00A52A70"/>
    <w:rsid w:val="00B0778A"/>
    <w:rsid w:val="00B165C4"/>
    <w:rsid w:val="00B86B2D"/>
    <w:rsid w:val="00BE2CB2"/>
    <w:rsid w:val="00BE63CC"/>
    <w:rsid w:val="00BF212E"/>
    <w:rsid w:val="00C21EE0"/>
    <w:rsid w:val="00C30F5C"/>
    <w:rsid w:val="00CC46E5"/>
    <w:rsid w:val="00D54723"/>
    <w:rsid w:val="00DB1668"/>
    <w:rsid w:val="00DB55CE"/>
    <w:rsid w:val="00E0524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66EA0"/>
  <w15:chartTrackingRefBased/>
  <w15:docId w15:val="{475B289C-F9A1-4717-B3D6-E982B8FC7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14214"/>
  </w:style>
  <w:style w:type="paragraph" w:styleId="Titolo1">
    <w:name w:val="heading 1"/>
    <w:basedOn w:val="Normale"/>
    <w:next w:val="Normale"/>
    <w:link w:val="Titolo1Carattere"/>
    <w:uiPriority w:val="9"/>
    <w:qFormat/>
    <w:rsid w:val="00B86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86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86B2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86B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86B2D"/>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B86B2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B86B2D"/>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B86B2D"/>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B86B2D"/>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86B2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86B2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86B2D"/>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86B2D"/>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B86B2D"/>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B86B2D"/>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B86B2D"/>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B86B2D"/>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B86B2D"/>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B86B2D"/>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86B2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86B2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86B2D"/>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86B2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86B2D"/>
    <w:rPr>
      <w:i/>
      <w:iCs/>
      <w:color w:val="404040" w:themeColor="text1" w:themeTint="BF"/>
    </w:rPr>
  </w:style>
  <w:style w:type="paragraph" w:styleId="Paragrafoelenco">
    <w:name w:val="List Paragraph"/>
    <w:basedOn w:val="Normale"/>
    <w:uiPriority w:val="34"/>
    <w:qFormat/>
    <w:rsid w:val="00B86B2D"/>
    <w:pPr>
      <w:ind w:left="720"/>
      <w:contextualSpacing/>
    </w:pPr>
  </w:style>
  <w:style w:type="character" w:styleId="Enfasiintensa">
    <w:name w:val="Intense Emphasis"/>
    <w:basedOn w:val="Carpredefinitoparagrafo"/>
    <w:uiPriority w:val="21"/>
    <w:qFormat/>
    <w:rsid w:val="00B86B2D"/>
    <w:rPr>
      <w:i/>
      <w:iCs/>
      <w:color w:val="0F4761" w:themeColor="accent1" w:themeShade="BF"/>
    </w:rPr>
  </w:style>
  <w:style w:type="paragraph" w:styleId="Citazioneintensa">
    <w:name w:val="Intense Quote"/>
    <w:basedOn w:val="Normale"/>
    <w:next w:val="Normale"/>
    <w:link w:val="CitazioneintensaCarattere"/>
    <w:uiPriority w:val="30"/>
    <w:qFormat/>
    <w:rsid w:val="00B86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86B2D"/>
    <w:rPr>
      <w:i/>
      <w:iCs/>
      <w:color w:val="0F4761" w:themeColor="accent1" w:themeShade="BF"/>
    </w:rPr>
  </w:style>
  <w:style w:type="character" w:styleId="Riferimentointenso">
    <w:name w:val="Intense Reference"/>
    <w:basedOn w:val="Carpredefinitoparagrafo"/>
    <w:uiPriority w:val="32"/>
    <w:qFormat/>
    <w:rsid w:val="00B86B2D"/>
    <w:rPr>
      <w:b/>
      <w:bCs/>
      <w:smallCaps/>
      <w:color w:val="0F4761" w:themeColor="accent1" w:themeShade="BF"/>
      <w:spacing w:val="5"/>
    </w:rPr>
  </w:style>
  <w:style w:type="table" w:styleId="Grigliatabella">
    <w:name w:val="Table Grid"/>
    <w:basedOn w:val="Tabellanormale"/>
    <w:uiPriority w:val="39"/>
    <w:rsid w:val="0001421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950348"/>
    <w:rPr>
      <w:color w:val="467886" w:themeColor="hyperlink"/>
      <w:u w:val="single"/>
    </w:rPr>
  </w:style>
  <w:style w:type="paragraph" w:styleId="Revisione">
    <w:name w:val="Revision"/>
    <w:hidden/>
    <w:uiPriority w:val="99"/>
    <w:semiHidden/>
    <w:rsid w:val="00710B38"/>
    <w:pPr>
      <w:spacing w:after="0"/>
      <w:jc w:val="left"/>
    </w:pPr>
  </w:style>
  <w:style w:type="character" w:styleId="Rimandocommento">
    <w:name w:val="annotation reference"/>
    <w:basedOn w:val="Carpredefinitoparagrafo"/>
    <w:uiPriority w:val="99"/>
    <w:semiHidden/>
    <w:unhideWhenUsed/>
    <w:rsid w:val="00710B38"/>
    <w:rPr>
      <w:sz w:val="16"/>
      <w:szCs w:val="16"/>
    </w:rPr>
  </w:style>
  <w:style w:type="paragraph" w:styleId="Testocommento">
    <w:name w:val="annotation text"/>
    <w:basedOn w:val="Normale"/>
    <w:link w:val="TestocommentoCarattere"/>
    <w:uiPriority w:val="99"/>
    <w:semiHidden/>
    <w:unhideWhenUsed/>
    <w:rsid w:val="00710B38"/>
    <w:rPr>
      <w:sz w:val="20"/>
      <w:szCs w:val="20"/>
    </w:rPr>
  </w:style>
  <w:style w:type="character" w:customStyle="1" w:styleId="TestocommentoCarattere">
    <w:name w:val="Testo commento Carattere"/>
    <w:basedOn w:val="Carpredefinitoparagrafo"/>
    <w:link w:val="Testocommento"/>
    <w:uiPriority w:val="99"/>
    <w:semiHidden/>
    <w:rsid w:val="00710B38"/>
    <w:rPr>
      <w:sz w:val="20"/>
      <w:szCs w:val="20"/>
    </w:rPr>
  </w:style>
  <w:style w:type="paragraph" w:styleId="Soggettocommento">
    <w:name w:val="annotation subject"/>
    <w:basedOn w:val="Testocommento"/>
    <w:next w:val="Testocommento"/>
    <w:link w:val="SoggettocommentoCarattere"/>
    <w:uiPriority w:val="99"/>
    <w:semiHidden/>
    <w:unhideWhenUsed/>
    <w:rsid w:val="00710B38"/>
    <w:rPr>
      <w:b/>
      <w:bCs/>
    </w:rPr>
  </w:style>
  <w:style w:type="character" w:customStyle="1" w:styleId="SoggettocommentoCarattere">
    <w:name w:val="Soggetto commento Carattere"/>
    <w:basedOn w:val="TestocommentoCarattere"/>
    <w:link w:val="Soggettocommento"/>
    <w:uiPriority w:val="99"/>
    <w:semiHidden/>
    <w:rsid w:val="00710B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359</Words>
  <Characters>2052</Characters>
  <Application>Microsoft Office Word</Application>
  <DocSecurity>0</DocSecurity>
  <Lines>17</Lines>
  <Paragraphs>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21</cp:revision>
  <dcterms:created xsi:type="dcterms:W3CDTF">2026-04-28T14:33:00Z</dcterms:created>
  <dcterms:modified xsi:type="dcterms:W3CDTF">2026-05-18T08:18:00Z</dcterms:modified>
</cp:coreProperties>
</file>