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C30F5C" w:rsidR="00472AF4" w:rsidP="001B5504" w:rsidRDefault="00014214" w14:paraId="1F3F8408" w14:textId="0B5C78B4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C30F5C">
        <w:rPr>
          <w:rFonts w:ascii="Titillium Web" w:hAnsi="Titillium Web"/>
          <w:b/>
          <w:bCs/>
          <w:sz w:val="28"/>
          <w:szCs w:val="24"/>
        </w:rPr>
        <w:t>Valle Trebba – Tomba 39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Pr="00BB0DC2" w:rsidR="001B5504" w:rsidTr="08DDFCDE" w14:paraId="7E897B51" w14:textId="77777777">
        <w:trPr>
          <w:jc w:val="center"/>
        </w:trPr>
        <w:tc>
          <w:tcPr>
            <w:tcW w:w="1650" w:type="pct"/>
            <w:tcMar/>
            <w:vAlign w:val="center"/>
          </w:tcPr>
          <w:p w:rsidRPr="00BB0DC2" w:rsidR="001B5504" w:rsidP="00BF212E" w:rsidRDefault="001B5504" w14:paraId="42CC7784" w14:textId="77777777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B0DC2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tcMar/>
            <w:vAlign w:val="center"/>
          </w:tcPr>
          <w:p w:rsidRPr="00BB0DC2" w:rsidR="001B5504" w:rsidP="00BF212E" w:rsidRDefault="001B5504" w14:paraId="3911E4F6" w14:textId="6BFD1686">
            <w:pPr>
              <w:jc w:val="center"/>
              <w:rPr>
                <w:rFonts w:ascii="Titillium Web" w:hAnsi="Titillium Web"/>
                <w:szCs w:val="24"/>
              </w:rPr>
            </w:pPr>
            <w:r w:rsidRPr="00BB0DC2">
              <w:rPr>
                <w:rFonts w:ascii="Titillium Web" w:hAnsi="Titillium Web"/>
                <w:szCs w:val="24"/>
              </w:rPr>
              <w:t>1922</w:t>
            </w:r>
          </w:p>
        </w:tc>
      </w:tr>
      <w:tr w:rsidRPr="00BB0DC2" w:rsidR="001B5504" w:rsidTr="08DDFCDE" w14:paraId="4120B077" w14:textId="77777777">
        <w:trPr>
          <w:jc w:val="center"/>
        </w:trPr>
        <w:tc>
          <w:tcPr>
            <w:tcW w:w="1650" w:type="pct"/>
            <w:tcMar/>
            <w:vAlign w:val="center"/>
          </w:tcPr>
          <w:p w:rsidRPr="00BB0DC2" w:rsidR="001B5504" w:rsidP="00BF212E" w:rsidRDefault="001B5504" w14:paraId="7B4CDD57" w14:textId="77777777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B0DC2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tcMar/>
            <w:vAlign w:val="center"/>
          </w:tcPr>
          <w:p w:rsidRPr="00BB0DC2" w:rsidR="001B5504" w:rsidP="00BF212E" w:rsidRDefault="001B5504" w14:paraId="4ED449D1" w14:textId="67560E4F">
            <w:pPr>
              <w:jc w:val="center"/>
              <w:rPr>
                <w:rFonts w:ascii="Titillium Web" w:hAnsi="Titillium Web"/>
                <w:szCs w:val="24"/>
              </w:rPr>
            </w:pPr>
            <w:r w:rsidRPr="00BB0DC2">
              <w:rPr>
                <w:rFonts w:ascii="Titillium Web" w:hAnsi="Titillium Web"/>
                <w:szCs w:val="24"/>
              </w:rPr>
              <w:t>Intatta</w:t>
            </w:r>
          </w:p>
        </w:tc>
      </w:tr>
      <w:tr w:rsidRPr="00BB0DC2" w:rsidR="001B5504" w:rsidTr="08DDFCDE" w14:paraId="7A448E9D" w14:textId="77777777">
        <w:trPr>
          <w:jc w:val="center"/>
        </w:trPr>
        <w:tc>
          <w:tcPr>
            <w:tcW w:w="1650" w:type="pct"/>
            <w:tcMar/>
            <w:vAlign w:val="center"/>
          </w:tcPr>
          <w:p w:rsidRPr="00BB0DC2" w:rsidR="001B5504" w:rsidP="00BF212E" w:rsidRDefault="001B5504" w14:paraId="1E1EA165" w14:textId="77777777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B0DC2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tcMar/>
            <w:vAlign w:val="center"/>
          </w:tcPr>
          <w:p w:rsidRPr="00BB0DC2" w:rsidR="001B5504" w:rsidP="00BF212E" w:rsidRDefault="00BB0DC2" w14:paraId="18226334" w14:textId="437F2869">
            <w:pPr>
              <w:jc w:val="center"/>
              <w:rPr>
                <w:rFonts w:ascii="Titillium Web" w:hAnsi="Titillium Web"/>
                <w:szCs w:val="24"/>
              </w:rPr>
            </w:pPr>
            <w:r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Pr="00BB0DC2" w:rsidR="001B5504" w:rsidTr="08DDFCDE" w14:paraId="31276AA4" w14:textId="77777777">
        <w:trPr>
          <w:jc w:val="center"/>
        </w:trPr>
        <w:tc>
          <w:tcPr>
            <w:tcW w:w="1650" w:type="pct"/>
            <w:tcMar/>
            <w:vAlign w:val="center"/>
          </w:tcPr>
          <w:p w:rsidRPr="00BB0DC2" w:rsidR="001B5504" w:rsidP="00BF212E" w:rsidRDefault="001B5504" w14:paraId="33201D3D" w14:textId="77777777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B0DC2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tcMar/>
            <w:vAlign w:val="center"/>
          </w:tcPr>
          <w:p w:rsidRPr="00BB0DC2" w:rsidR="001B5504" w:rsidP="00BF212E" w:rsidRDefault="001B5504" w14:paraId="720E7EE7" w14:textId="3E36BEBB">
            <w:pPr>
              <w:jc w:val="center"/>
              <w:rPr>
                <w:rFonts w:ascii="Titillium Web" w:hAnsi="Titillium Web"/>
                <w:szCs w:val="24"/>
              </w:rPr>
            </w:pPr>
            <w:r w:rsidRPr="00BB0DC2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Pr="00BB0DC2" w:rsidR="001B5504" w:rsidTr="08DDFCDE" w14:paraId="07337DA2" w14:textId="77777777">
        <w:trPr>
          <w:jc w:val="center"/>
        </w:trPr>
        <w:tc>
          <w:tcPr>
            <w:tcW w:w="1650" w:type="pct"/>
            <w:tcMar/>
            <w:vAlign w:val="center"/>
          </w:tcPr>
          <w:p w:rsidRPr="00BB0DC2" w:rsidR="001B5504" w:rsidP="00BF212E" w:rsidRDefault="001B5504" w14:paraId="5032DFD5" w14:textId="77777777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B0DC2">
              <w:rPr>
                <w:rFonts w:ascii="Titillium Web" w:hAnsi="Titillium Web"/>
                <w:smallCaps/>
                <w:szCs w:val="24"/>
              </w:rPr>
              <w:t>Profondità dal piano di campagna</w:t>
            </w:r>
          </w:p>
        </w:tc>
        <w:tc>
          <w:tcPr>
            <w:tcW w:w="3350" w:type="pct"/>
            <w:tcMar/>
            <w:vAlign w:val="center"/>
          </w:tcPr>
          <w:p w:rsidRPr="00BB0DC2" w:rsidR="001B5504" w:rsidP="00BF212E" w:rsidRDefault="001B5504" w14:paraId="4AC1C871" w14:textId="553FE193">
            <w:pPr>
              <w:jc w:val="center"/>
              <w:rPr>
                <w:rFonts w:ascii="Titillium Web" w:hAnsi="Titillium Web"/>
                <w:szCs w:val="24"/>
              </w:rPr>
            </w:pPr>
            <w:r w:rsidRPr="00BB0DC2">
              <w:rPr>
                <w:rFonts w:ascii="Titillium Web" w:hAnsi="Titillium Web"/>
                <w:szCs w:val="24"/>
              </w:rPr>
              <w:t>1,50 m</w:t>
            </w:r>
          </w:p>
        </w:tc>
      </w:tr>
      <w:tr w:rsidRPr="00BB0DC2" w:rsidR="001B5504" w:rsidTr="08DDFCDE" w14:paraId="16F9D287" w14:textId="77777777">
        <w:trPr>
          <w:jc w:val="center"/>
        </w:trPr>
        <w:tc>
          <w:tcPr>
            <w:tcW w:w="1650" w:type="pct"/>
            <w:tcMar/>
            <w:vAlign w:val="center"/>
          </w:tcPr>
          <w:p w:rsidRPr="00BB0DC2" w:rsidR="001B5504" w:rsidP="00BF212E" w:rsidRDefault="001B5504" w14:paraId="5D675683" w14:textId="77777777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B0DC2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tcMar/>
            <w:vAlign w:val="center"/>
          </w:tcPr>
          <w:p w:rsidRPr="00BB0DC2" w:rsidR="001B5504" w:rsidP="00BF212E" w:rsidRDefault="001B5504" w14:paraId="606ED54D" w14:textId="0EBDB5D9">
            <w:pPr>
              <w:jc w:val="center"/>
              <w:rPr>
                <w:rFonts w:ascii="Titillium Web" w:hAnsi="Titillium Web"/>
                <w:szCs w:val="24"/>
              </w:rPr>
            </w:pPr>
            <w:r w:rsidRPr="00BB0DC2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Pr="00BB0DC2" w:rsidR="001B5504" w:rsidTr="08DDFCDE" w14:paraId="3DCDE8C5" w14:textId="77777777">
        <w:trPr>
          <w:jc w:val="center"/>
        </w:trPr>
        <w:tc>
          <w:tcPr>
            <w:tcW w:w="1650" w:type="pct"/>
            <w:tcMar/>
            <w:vAlign w:val="center"/>
          </w:tcPr>
          <w:p w:rsidRPr="00BB0DC2" w:rsidR="001B5504" w:rsidP="00BF212E" w:rsidRDefault="001B5504" w14:paraId="090E3992" w14:textId="77777777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B0DC2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tcMar/>
            <w:vAlign w:val="center"/>
          </w:tcPr>
          <w:p w:rsidRPr="00BB0DC2" w:rsidR="001B5504" w:rsidP="00BF212E" w:rsidRDefault="000F0978" w14:paraId="01C3562F" w14:textId="789C0402">
            <w:pPr>
              <w:jc w:val="center"/>
              <w:rPr>
                <w:rFonts w:ascii="Titillium Web" w:hAnsi="Titillium Web"/>
                <w:szCs w:val="24"/>
              </w:rPr>
            </w:pPr>
            <w:r>
              <w:rPr>
                <w:rFonts w:ascii="Titillium Web" w:hAnsi="Titillium Web"/>
                <w:szCs w:val="24"/>
              </w:rPr>
              <w:t>E-W</w:t>
            </w:r>
          </w:p>
        </w:tc>
      </w:tr>
      <w:tr w:rsidRPr="00BB0DC2" w:rsidR="001B5504" w:rsidTr="08DDFCDE" w14:paraId="5978151F" w14:textId="77777777">
        <w:trPr>
          <w:jc w:val="center"/>
        </w:trPr>
        <w:tc>
          <w:tcPr>
            <w:tcW w:w="1650" w:type="pct"/>
            <w:tcMar/>
            <w:vAlign w:val="center"/>
          </w:tcPr>
          <w:p w:rsidRPr="00BB0DC2" w:rsidR="001B5504" w:rsidP="00BF212E" w:rsidRDefault="001B5504" w14:paraId="1F67A10B" w14:textId="77777777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B0DC2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tcMar/>
            <w:vAlign w:val="center"/>
          </w:tcPr>
          <w:p w:rsidRPr="00BB0DC2" w:rsidR="001B5504" w:rsidP="00BF212E" w:rsidRDefault="000F0978" w14:paraId="6599D472" w14:textId="1452B1B9">
            <w:pPr>
              <w:jc w:val="center"/>
              <w:rPr>
                <w:rFonts w:ascii="Titillium Web" w:hAnsi="Titillium Web"/>
                <w:szCs w:val="24"/>
              </w:rPr>
            </w:pPr>
            <w:r>
              <w:rPr>
                <w:rFonts w:ascii="Titillium Web" w:hAnsi="Titillium Web"/>
                <w:szCs w:val="24"/>
              </w:rPr>
              <w:t>/</w:t>
            </w:r>
          </w:p>
        </w:tc>
      </w:tr>
      <w:tr w:rsidRPr="00BB0DC2" w:rsidR="001B5504" w:rsidTr="08DDFCDE" w14:paraId="28E05F99" w14:textId="77777777">
        <w:trPr>
          <w:jc w:val="center"/>
        </w:trPr>
        <w:tc>
          <w:tcPr>
            <w:tcW w:w="1650" w:type="pct"/>
            <w:tcMar/>
            <w:vAlign w:val="center"/>
          </w:tcPr>
          <w:p w:rsidRPr="00BB0DC2" w:rsidR="001B5504" w:rsidP="001F2833" w:rsidRDefault="001B5504" w14:paraId="6ECF1BD4" w14:textId="77777777">
            <w:pPr>
              <w:spacing w:before="120" w:after="120"/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B0DC2">
              <w:rPr>
                <w:rFonts w:ascii="Titillium Web" w:hAnsi="Titillium Web"/>
                <w:smallCaps/>
                <w:szCs w:val="24"/>
              </w:rPr>
              <w:t>Giornale di scavo (GdS)</w:t>
            </w:r>
          </w:p>
        </w:tc>
        <w:tc>
          <w:tcPr>
            <w:tcW w:w="3350" w:type="pct"/>
            <w:tcMar/>
            <w:vAlign w:val="center"/>
          </w:tcPr>
          <w:p w:rsidRPr="00BB0DC2" w:rsidR="001B5504" w:rsidP="00BF212E" w:rsidRDefault="001B5504" w14:paraId="1A6B7E7E" w14:textId="0CA549C6">
            <w:pPr>
              <w:jc w:val="left"/>
              <w:rPr>
                <w:rFonts w:ascii="Titillium Web" w:hAnsi="Titillium Web"/>
                <w:i/>
                <w:iCs/>
                <w:szCs w:val="24"/>
              </w:rPr>
            </w:pPr>
            <w:r w:rsidRPr="00BB0DC2">
              <w:rPr>
                <w:rFonts w:ascii="Titillium Web" w:hAnsi="Titillium Web"/>
                <w:i/>
                <w:iCs/>
                <w:szCs w:val="24"/>
              </w:rPr>
              <w:t>Giornale di Scavo (Proni 1922, ms.)</w:t>
            </w:r>
            <w:r w:rsidRPr="00BB0DC2">
              <w:rPr>
                <w:rFonts w:ascii="Titillium Web" w:hAnsi="Titillium Web"/>
                <w:i/>
                <w:iCs/>
                <w:szCs w:val="24"/>
              </w:rPr>
              <w:br/>
            </w:r>
            <w:r w:rsidRPr="00BB0DC2">
              <w:rPr>
                <w:rFonts w:ascii="Titillium Web" w:hAnsi="Titillium Web"/>
                <w:i/>
                <w:iCs/>
                <w:szCs w:val="24"/>
              </w:rPr>
              <w:t>Tomba 39 – a umazione –</w:t>
            </w:r>
            <w:r w:rsidRPr="00BB0DC2">
              <w:rPr>
                <w:rFonts w:ascii="Titillium Web" w:hAnsi="Titillium Web"/>
                <w:i/>
                <w:iCs/>
                <w:szCs w:val="24"/>
              </w:rPr>
              <w:br/>
            </w:r>
            <w:r w:rsidRPr="00BB0DC2">
              <w:rPr>
                <w:rFonts w:ascii="Titillium Web" w:hAnsi="Titillium Web"/>
                <w:i/>
                <w:iCs/>
                <w:szCs w:val="24"/>
              </w:rPr>
              <w:t>A m. 1 di prof.tà appare l'acqua e approfondendo lo scavo per fare il pozzo si era incontrato lo scheletro e le suppellettili che posavano a m. 1,50.</w:t>
            </w:r>
            <w:r w:rsidRPr="00BB0DC2">
              <w:rPr>
                <w:rFonts w:ascii="Titillium Web" w:hAnsi="Titillium Web"/>
                <w:i/>
                <w:iCs/>
                <w:szCs w:val="24"/>
              </w:rPr>
              <w:br/>
            </w:r>
            <w:r w:rsidRPr="00BB0DC2">
              <w:rPr>
                <w:rFonts w:ascii="Titillium Web" w:hAnsi="Titillium Web"/>
                <w:i/>
                <w:iCs/>
                <w:szCs w:val="24"/>
              </w:rPr>
              <w:t>La tomba era stata scavata dal marinaio in condizioni pietose; egli aveva estratto dall'acqua e dal fango con la pala e con le mani i frammenti dei vasi e dello scheletro, sembra che lo scheletro fosse orientato con la testa a lev. e i piedi a ponente.</w:t>
            </w:r>
            <w:r w:rsidRPr="00BB0DC2">
              <w:rPr>
                <w:rFonts w:ascii="Titillium Web" w:hAnsi="Titillium Web"/>
                <w:i/>
                <w:iCs/>
                <w:szCs w:val="24"/>
              </w:rPr>
              <w:br/>
            </w:r>
            <w:r w:rsidRPr="00BB0DC2">
              <w:rPr>
                <w:rFonts w:ascii="Titillium Web" w:hAnsi="Titillium Web"/>
                <w:i/>
                <w:iCs/>
                <w:szCs w:val="24"/>
              </w:rPr>
              <w:t>La tomba conteneva:</w:t>
            </w:r>
            <w:r w:rsidRPr="00BB0DC2">
              <w:rPr>
                <w:rFonts w:ascii="Titillium Web" w:hAnsi="Titillium Web"/>
                <w:i/>
                <w:iCs/>
                <w:szCs w:val="24"/>
              </w:rPr>
              <w:br/>
            </w:r>
            <w:r w:rsidRPr="00BB0DC2">
              <w:rPr>
                <w:rFonts w:ascii="Titillium Web" w:hAnsi="Titillium Web"/>
                <w:i/>
                <w:iCs/>
                <w:szCs w:val="24"/>
              </w:rPr>
              <w:t>2 piatti a vern. n., in fram.ti, con nel centro una cavità circolare - (piatti per pesce).</w:t>
            </w:r>
            <w:r w:rsidRPr="00BB0DC2">
              <w:rPr>
                <w:rFonts w:ascii="Titillium Web" w:hAnsi="Titillium Web"/>
                <w:i/>
                <w:iCs/>
                <w:szCs w:val="24"/>
              </w:rPr>
              <w:br/>
            </w:r>
            <w:r w:rsidRPr="00BB0DC2">
              <w:rPr>
                <w:rFonts w:ascii="Titillium Web" w:hAnsi="Titillium Web"/>
                <w:i/>
                <w:iCs/>
                <w:szCs w:val="24"/>
              </w:rPr>
              <w:t>1 skyphos piccolo a vern. n. di tipo allungato e</w:t>
            </w:r>
            <w:r w:rsidRPr="00BB0DC2">
              <w:rPr>
                <w:rFonts w:ascii="Titillium Web" w:hAnsi="Titillium Web"/>
                <w:i/>
                <w:iCs/>
                <w:szCs w:val="24"/>
              </w:rPr>
              <w:br/>
            </w:r>
            <w:r w:rsidRPr="00BB0DC2">
              <w:rPr>
                <w:rFonts w:ascii="Titillium Web" w:hAnsi="Titillium Web"/>
                <w:i/>
                <w:iCs/>
                <w:szCs w:val="24"/>
              </w:rPr>
              <w:t>largo alla bocca.</w:t>
            </w:r>
            <w:r w:rsidRPr="00BB0DC2">
              <w:rPr>
                <w:rFonts w:ascii="Titillium Web" w:hAnsi="Titillium Web"/>
                <w:i/>
                <w:iCs/>
                <w:szCs w:val="24"/>
              </w:rPr>
              <w:br/>
            </w:r>
            <w:r w:rsidRPr="00BB0DC2">
              <w:rPr>
                <w:rFonts w:ascii="Titillium Web" w:hAnsi="Titillium Web"/>
                <w:i/>
                <w:iCs/>
                <w:szCs w:val="24"/>
              </w:rPr>
              <w:t>frammenti di altro simile.</w:t>
            </w:r>
            <w:r w:rsidRPr="00BB0DC2">
              <w:rPr>
                <w:rFonts w:ascii="Titillium Web" w:hAnsi="Titillium Web"/>
                <w:i/>
                <w:iCs/>
                <w:szCs w:val="24"/>
              </w:rPr>
              <w:br/>
            </w:r>
            <w:r w:rsidRPr="00BB0DC2">
              <w:rPr>
                <w:rFonts w:ascii="Titillium Web" w:hAnsi="Titillium Web"/>
                <w:i/>
                <w:iCs/>
                <w:szCs w:val="24"/>
              </w:rPr>
              <w:t>1 lucernina con ansa ad anello e con disegni animali</w:t>
            </w:r>
            <w:r w:rsidRPr="00BB0DC2">
              <w:rPr>
                <w:rFonts w:ascii="Titillium Web" w:hAnsi="Titillium Web"/>
                <w:i/>
                <w:iCs/>
                <w:szCs w:val="24"/>
              </w:rPr>
              <w:br/>
            </w:r>
            <w:r w:rsidRPr="00BB0DC2">
              <w:rPr>
                <w:rFonts w:ascii="Titillium Web" w:hAnsi="Titillium Web"/>
                <w:i/>
                <w:iCs/>
                <w:szCs w:val="24"/>
              </w:rPr>
              <w:t>1 lekane in pezzi (pochi); è a vern. nera.</w:t>
            </w:r>
            <w:r w:rsidRPr="00BB0DC2">
              <w:rPr>
                <w:rFonts w:ascii="Titillium Web" w:hAnsi="Titillium Web"/>
                <w:i/>
                <w:iCs/>
                <w:szCs w:val="24"/>
              </w:rPr>
              <w:br/>
            </w:r>
            <w:r w:rsidRPr="00BB0DC2">
              <w:rPr>
                <w:rFonts w:ascii="Titillium Web" w:hAnsi="Titillium Web"/>
                <w:i/>
                <w:iCs/>
                <w:szCs w:val="24"/>
              </w:rPr>
              <w:t>2 aryballoi ovoidali, uno a v.n. con palmetta,</w:t>
            </w:r>
            <w:r w:rsidRPr="00BB0DC2">
              <w:rPr>
                <w:rFonts w:ascii="Titillium Web" w:hAnsi="Titillium Web"/>
                <w:i/>
                <w:iCs/>
                <w:szCs w:val="24"/>
              </w:rPr>
              <w:br/>
            </w:r>
            <w:r w:rsidRPr="00BB0DC2">
              <w:rPr>
                <w:rFonts w:ascii="Titillium Web" w:hAnsi="Titillium Web"/>
                <w:i/>
                <w:iCs/>
                <w:szCs w:val="24"/>
              </w:rPr>
              <w:t>l’altro a linee incrociantesi fra loro (entrambi fram.tati)</w:t>
            </w:r>
            <w:r w:rsidRPr="00BB0DC2">
              <w:rPr>
                <w:rFonts w:ascii="Titillium Web" w:hAnsi="Titillium Web"/>
                <w:i/>
                <w:iCs/>
                <w:szCs w:val="24"/>
              </w:rPr>
              <w:br/>
            </w:r>
            <w:r w:rsidRPr="00BB0DC2">
              <w:rPr>
                <w:rFonts w:ascii="Titillium Web" w:hAnsi="Titillium Web"/>
                <w:i/>
                <w:iCs/>
                <w:szCs w:val="24"/>
              </w:rPr>
              <w:t>1 altro idem con palmetta; in minuti fram.ti.</w:t>
            </w:r>
            <w:r w:rsidRPr="00BB0DC2">
              <w:rPr>
                <w:rFonts w:ascii="Titillium Web" w:hAnsi="Titillium Web"/>
                <w:i/>
                <w:iCs/>
                <w:szCs w:val="24"/>
              </w:rPr>
              <w:br/>
            </w:r>
            <w:r w:rsidRPr="00BB0DC2">
              <w:rPr>
                <w:rFonts w:ascii="Titillium Web" w:hAnsi="Titillium Web"/>
                <w:i/>
                <w:iCs/>
                <w:szCs w:val="24"/>
              </w:rPr>
              <w:t>1 kylix figurata, in fram.ti: manca un frammento ove è la testa del giovane ignudo a destra presso un’ara ed è volto a sin. a parlare con una donzella seduta – Il rovescio è talmente coperto di concrezione calcarea da non potere discernere le figure.</w:t>
            </w:r>
            <w:r w:rsidRPr="00BB0DC2">
              <w:rPr>
                <w:rFonts w:ascii="Titillium Web" w:hAnsi="Titillium Web"/>
                <w:i/>
                <w:iCs/>
                <w:szCs w:val="24"/>
              </w:rPr>
              <w:br/>
            </w:r>
            <w:r w:rsidRPr="00BB0DC2">
              <w:rPr>
                <w:rFonts w:ascii="Titillium Web" w:hAnsi="Titillium Web"/>
                <w:i/>
                <w:iCs/>
                <w:szCs w:val="24"/>
              </w:rPr>
              <w:t>2 reggi vasetto a ver. nera</w:t>
            </w:r>
            <w:r w:rsidRPr="00BB0DC2">
              <w:rPr>
                <w:rFonts w:ascii="Titillium Web" w:hAnsi="Titillium Web"/>
                <w:i/>
                <w:iCs/>
                <w:szCs w:val="24"/>
              </w:rPr>
              <w:br/>
            </w:r>
            <w:r w:rsidRPr="00BB0DC2">
              <w:rPr>
                <w:rFonts w:ascii="Titillium Web" w:hAnsi="Titillium Web"/>
                <w:i/>
                <w:iCs/>
                <w:szCs w:val="24"/>
              </w:rPr>
              <w:t>Il marinaio assieme al materiale descritto mi ha consegnato una quantità di fondelli di tazze a ver. n. con impressioni, e frammenti di altri vasi che io credo appartengano a più tombe che erano in gruppo, o che frammentariamente furono raccolti sparsi.</w:t>
            </w:r>
            <w:r w:rsidRPr="00BB0DC2">
              <w:rPr>
                <w:rFonts w:ascii="Titillium Web" w:hAnsi="Titillium Web"/>
                <w:i/>
                <w:iCs/>
                <w:szCs w:val="24"/>
              </w:rPr>
              <w:br/>
            </w:r>
            <w:r w:rsidRPr="00BB0DC2">
              <w:rPr>
                <w:rFonts w:ascii="Titillium Web" w:hAnsi="Titillium Web"/>
                <w:i/>
                <w:iCs/>
                <w:szCs w:val="24"/>
              </w:rPr>
              <w:t>27 maggio -</w:t>
            </w:r>
            <w:r w:rsidRPr="00BB0DC2">
              <w:rPr>
                <w:rFonts w:ascii="Titillium Web" w:hAnsi="Titillium Web"/>
                <w:i/>
                <w:iCs/>
                <w:szCs w:val="24"/>
              </w:rPr>
              <w:br/>
            </w:r>
            <w:r w:rsidRPr="00BB0DC2">
              <w:rPr>
                <w:rFonts w:ascii="Titillium Web" w:hAnsi="Titillium Web"/>
                <w:i/>
                <w:iCs/>
                <w:szCs w:val="24"/>
              </w:rPr>
              <w:t>Esplorando a ovest di questa tomba nel rovistare e sgombrare il terreno dalla terra che il marinaio aveva cavata dallo scavo si è rinvenuta</w:t>
            </w:r>
            <w:r w:rsidRPr="00BB0DC2">
              <w:rPr>
                <w:rFonts w:ascii="Titillium Web" w:hAnsi="Titillium Web"/>
                <w:i/>
                <w:iCs/>
                <w:szCs w:val="24"/>
              </w:rPr>
              <w:br/>
            </w:r>
            <w:r w:rsidRPr="00BB0DC2">
              <w:rPr>
                <w:rFonts w:ascii="Titillium Web" w:hAnsi="Titillium Web"/>
                <w:i/>
                <w:iCs/>
                <w:szCs w:val="24"/>
              </w:rPr>
              <w:t>1 statuetta di bronzo (cima di candelabro) alta 0,12 circa, intera. Rappresenta un salteros con un peso in ciascuna mano –</w:t>
            </w:r>
            <w:r w:rsidRPr="00BB0DC2">
              <w:rPr>
                <w:rFonts w:ascii="Titillium Web" w:hAnsi="Titillium Web"/>
                <w:i/>
                <w:iCs/>
                <w:szCs w:val="24"/>
              </w:rPr>
              <w:br/>
            </w:r>
            <w:r w:rsidRPr="00BB0DC2">
              <w:rPr>
                <w:rFonts w:ascii="Titillium Web" w:hAnsi="Titillium Web"/>
                <w:i/>
                <w:iCs/>
                <w:szCs w:val="24"/>
              </w:rPr>
              <w:t>La statuina è di belle proporzioni, poggia su una basetta circolare, le ciocche dei capelli sono trattate a bulino.</w:t>
            </w:r>
            <w:r w:rsidRPr="00BB0DC2">
              <w:rPr>
                <w:rFonts w:ascii="Titillium Web" w:hAnsi="Titillium Web"/>
                <w:i/>
                <w:iCs/>
                <w:szCs w:val="24"/>
              </w:rPr>
              <w:br/>
            </w:r>
            <w:r w:rsidRPr="00BB0DC2">
              <w:rPr>
                <w:rFonts w:ascii="Titillium Web" w:hAnsi="Titillium Web"/>
                <w:i/>
                <w:iCs/>
                <w:szCs w:val="24"/>
              </w:rPr>
              <w:t>La epidermide del bronzo si stacca in parte. Faceva parte della suppellettile della tomba ed è stata buttata di sopra fra un blocco di terra con la pala, senza che nessuno se ne accorgesse.</w:t>
            </w:r>
          </w:p>
        </w:tc>
      </w:tr>
      <w:tr w:rsidRPr="00BB0DC2" w:rsidR="001B5504" w:rsidTr="08DDFCDE" w14:paraId="4CA65959" w14:textId="77777777">
        <w:trPr>
          <w:jc w:val="center"/>
        </w:trPr>
        <w:tc>
          <w:tcPr>
            <w:tcW w:w="1650" w:type="pct"/>
            <w:tcMar/>
            <w:vAlign w:val="center"/>
          </w:tcPr>
          <w:p w:rsidRPr="00BB0DC2" w:rsidR="001B5504" w:rsidP="00BF212E" w:rsidRDefault="001B5504" w14:paraId="42C0306C" w14:textId="77777777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B0DC2">
              <w:rPr>
                <w:rFonts w:ascii="Titillium Web" w:hAnsi="Titillium Web"/>
                <w:smallCaps/>
                <w:szCs w:val="24"/>
              </w:rPr>
              <w:t>Corredo</w:t>
            </w:r>
          </w:p>
        </w:tc>
        <w:tc>
          <w:tcPr>
            <w:tcW w:w="3350" w:type="pct"/>
            <w:tcMar/>
            <w:vAlign w:val="center"/>
          </w:tcPr>
          <w:p w:rsidRPr="00BB0DC2" w:rsidR="0056058F" w:rsidP="08DDFCDE" w:rsidRDefault="0056058F" w14:paraId="2053F5D5" w14:textId="57134D9F">
            <w:pPr>
              <w:jc w:val="center"/>
              <w:rPr>
                <w:rFonts w:ascii="Titillium Web" w:hAnsi="Titillium Web" w:cs="Times New Roman"/>
                <w:u w:val="single"/>
              </w:rPr>
            </w:pPr>
            <w:r w:rsidRPr="08DDFCDE" w:rsidR="42AF4310">
              <w:rPr>
                <w:rFonts w:ascii="Titillium Web" w:hAnsi="Titillium Web" w:cs="Times New Roman"/>
              </w:rPr>
              <w:t>Fra gli oggetti recuperati in gruppo presso le ossa, figurano vasi attici, figurati e a v.n. (</w:t>
            </w:r>
            <w:r w:rsidRPr="08DDFCDE" w:rsidR="42AF4310">
              <w:rPr>
                <w:rFonts w:ascii="Titillium Web" w:hAnsi="Titillium Web" w:cs="Times New Roman"/>
              </w:rPr>
              <w:t>nn</w:t>
            </w:r>
            <w:r w:rsidRPr="08DDFCDE" w:rsidR="42AF4310">
              <w:rPr>
                <w:rFonts w:ascii="Titillium Web" w:hAnsi="Titillium Web" w:cs="Times New Roman"/>
              </w:rPr>
              <w:t xml:space="preserve">. 1-13), e la cimasa di un candelabro in bronzo (n. 14*). La statuetta, oggi perduta, sarebbe stata trovato poco lontano dalla tomba, nella terra di risulta dello scavo. Rimane incerta la pertinenza delle due </w:t>
            </w:r>
            <w:r w:rsidRPr="08DDFCDE" w:rsidR="42AF4310">
              <w:rPr>
                <w:rFonts w:ascii="Titillium Web" w:hAnsi="Titillium Web" w:cs="Times New Roman"/>
                <w:i w:val="1"/>
                <w:iCs w:val="1"/>
              </w:rPr>
              <w:t xml:space="preserve">lekythoi </w:t>
            </w:r>
            <w:r w:rsidRPr="08DDFCDE" w:rsidR="5BC400AC">
              <w:rPr>
                <w:rFonts w:ascii="Titillium Web" w:hAnsi="Titillium Web" w:cs="Times New Roman"/>
                <w:i w:val="0"/>
                <w:iCs w:val="0"/>
              </w:rPr>
              <w:t xml:space="preserve">a f.n. </w:t>
            </w:r>
            <w:r w:rsidRPr="08DDFCDE" w:rsidR="42AF4310">
              <w:rPr>
                <w:rFonts w:ascii="Titillium Web" w:hAnsi="Titillium Web" w:cs="Times New Roman"/>
              </w:rPr>
              <w:t>con decorazione a reticolo (</w:t>
            </w:r>
            <w:r w:rsidRPr="08DDFCDE" w:rsidR="42AF4310">
              <w:rPr>
                <w:rFonts w:ascii="Titillium Web" w:hAnsi="Titillium Web" w:cs="Times New Roman"/>
              </w:rPr>
              <w:t>nn</w:t>
            </w:r>
            <w:r w:rsidRPr="08DDFCDE" w:rsidR="42AF4310">
              <w:rPr>
                <w:rFonts w:ascii="Titillium Web" w:hAnsi="Titillium Web" w:cs="Times New Roman"/>
              </w:rPr>
              <w:t xml:space="preserve">. </w:t>
            </w:r>
            <w:r w:rsidRPr="08DDFCDE" w:rsidR="1A4D1F21">
              <w:rPr>
                <w:rFonts w:ascii="Titillium Web" w:hAnsi="Titillium Web" w:cs="Times New Roman"/>
              </w:rPr>
              <w:t>1</w:t>
            </w:r>
            <w:r w:rsidRPr="08DDFCDE" w:rsidR="42AF4310">
              <w:rPr>
                <w:rFonts w:ascii="Titillium Web" w:hAnsi="Titillium Web" w:cs="Times New Roman"/>
              </w:rPr>
              <w:t>-</w:t>
            </w:r>
            <w:r w:rsidRPr="08DDFCDE" w:rsidR="444E70CA">
              <w:rPr>
                <w:rFonts w:ascii="Titillium Web" w:hAnsi="Titillium Web" w:cs="Times New Roman"/>
              </w:rPr>
              <w:t>2</w:t>
            </w:r>
            <w:r w:rsidRPr="08DDFCDE" w:rsidR="42AF4310">
              <w:rPr>
                <w:rFonts w:ascii="Titillium Web" w:hAnsi="Titillium Web" w:cs="Times New Roman"/>
              </w:rPr>
              <w:t>), poiché il corredo doveva comprendere un solo un esemplare e i dati disponibili non consentono di stabilire quale dei due.</w:t>
            </w:r>
          </w:p>
          <w:p w:rsidRPr="00BB0DC2" w:rsidR="008156E4" w:rsidP="08DDFCDE" w:rsidRDefault="008156E4" w14:paraId="04F38A8A" w14:textId="08D7F722">
            <w:pPr>
              <w:jc w:val="center"/>
              <w:rPr>
                <w:rFonts w:ascii="Titillium Web" w:hAnsi="Titillium Web"/>
              </w:rPr>
            </w:pPr>
            <w:r w:rsidRPr="08DDFCDE" w:rsidR="047929FC">
              <w:rPr>
                <w:rFonts w:ascii="Titillium Web" w:hAnsi="Titillium Web"/>
              </w:rPr>
              <w:t xml:space="preserve">1. Lekythos </w:t>
            </w:r>
            <w:r w:rsidRPr="08DDFCDE" w:rsidR="047929FC">
              <w:rPr>
                <w:rFonts w:ascii="Titillium Web" w:hAnsi="Titillium Web"/>
              </w:rPr>
              <w:t>aryballica</w:t>
            </w:r>
            <w:r w:rsidRPr="08DDFCDE" w:rsidR="047929FC">
              <w:rPr>
                <w:rFonts w:ascii="Titillium Web" w:hAnsi="Titillium Web"/>
              </w:rPr>
              <w:t xml:space="preserve"> attica (IG 704; figure nere)</w:t>
            </w:r>
            <w:proofErr w:type="spellStart"/>
            <w:proofErr w:type="spellEnd"/>
          </w:p>
          <w:p w:rsidRPr="00BB0DC2" w:rsidR="008156E4" w:rsidP="08DDFCDE" w:rsidRDefault="008156E4" w14:paraId="4E9AE530" w14:textId="20C1631F">
            <w:pPr>
              <w:pStyle w:val="Normale"/>
              <w:jc w:val="center"/>
              <w:rPr>
                <w:rFonts w:ascii="Titillium Web" w:hAnsi="Titillium Web"/>
              </w:rPr>
            </w:pPr>
            <w:r w:rsidRPr="08DDFCDE" w:rsidR="047929FC">
              <w:rPr>
                <w:rFonts w:ascii="Titillium Web" w:hAnsi="Titillium Web"/>
              </w:rPr>
              <w:t xml:space="preserve">2. Lekythos </w:t>
            </w:r>
            <w:r w:rsidRPr="08DDFCDE" w:rsidR="047929FC">
              <w:rPr>
                <w:rFonts w:ascii="Titillium Web" w:hAnsi="Titillium Web"/>
              </w:rPr>
              <w:t>aryballica</w:t>
            </w:r>
            <w:r w:rsidRPr="08DDFCDE" w:rsidR="047929FC">
              <w:rPr>
                <w:rFonts w:ascii="Titillium Web" w:hAnsi="Titillium Web"/>
              </w:rPr>
              <w:t xml:space="preserve"> attica (IG 16104; figure nere) </w:t>
            </w:r>
          </w:p>
          <w:p w:rsidRPr="00BB0DC2" w:rsidR="008156E4" w:rsidP="08DDFCDE" w:rsidRDefault="008156E4" w14:paraId="5328A4D3" w14:textId="58AB8C4A">
            <w:pPr>
              <w:pStyle w:val="Normale"/>
              <w:jc w:val="center"/>
              <w:rPr>
                <w:rFonts w:ascii="Titillium Web" w:hAnsi="Titillium Web"/>
              </w:rPr>
            </w:pPr>
            <w:r w:rsidRPr="08DDFCDE" w:rsidR="5E711D43">
              <w:rPr>
                <w:rFonts w:ascii="Titillium Web" w:hAnsi="Titillium Web"/>
              </w:rPr>
              <w:t xml:space="preserve">3. Lekythos </w:t>
            </w:r>
            <w:r w:rsidRPr="08DDFCDE" w:rsidR="5E711D43">
              <w:rPr>
                <w:rFonts w:ascii="Titillium Web" w:hAnsi="Titillium Web"/>
              </w:rPr>
              <w:t>aryballica</w:t>
            </w:r>
            <w:r w:rsidRPr="08DDFCDE" w:rsidR="5E711D43">
              <w:rPr>
                <w:rFonts w:ascii="Titillium Web" w:hAnsi="Titillium Web"/>
              </w:rPr>
              <w:t xml:space="preserve"> attica (IG 703; figure rosse)</w:t>
            </w:r>
          </w:p>
          <w:p w:rsidRPr="00BB0DC2" w:rsidR="008156E4" w:rsidP="08DDFCDE" w:rsidRDefault="008156E4" w14:paraId="59480B71" w14:textId="5B562142">
            <w:pPr>
              <w:jc w:val="center"/>
              <w:rPr>
                <w:rFonts w:ascii="Titillium Web" w:hAnsi="Titillium Web"/>
              </w:rPr>
            </w:pPr>
            <w:r w:rsidRPr="08DDFCDE" w:rsidR="5E711D43">
              <w:rPr>
                <w:rFonts w:ascii="Titillium Web" w:hAnsi="Titillium Web"/>
              </w:rPr>
              <w:t xml:space="preserve">4. Lekythos </w:t>
            </w:r>
            <w:r w:rsidRPr="08DDFCDE" w:rsidR="5E711D43">
              <w:rPr>
                <w:rFonts w:ascii="Titillium Web" w:hAnsi="Titillium Web"/>
              </w:rPr>
              <w:t>aryballica</w:t>
            </w:r>
            <w:r w:rsidRPr="08DDFCDE" w:rsidR="5E711D43">
              <w:rPr>
                <w:rFonts w:ascii="Titillium Web" w:hAnsi="Titillium Web"/>
              </w:rPr>
              <w:t xml:space="preserve"> attica (IG 16100; figure rosse)</w:t>
            </w:r>
          </w:p>
          <w:p w:rsidRPr="00BB0DC2" w:rsidR="008156E4" w:rsidP="08DDFCDE" w:rsidRDefault="008156E4" w14:paraId="18B1792C" w14:textId="226526E8">
            <w:pPr>
              <w:jc w:val="center"/>
              <w:rPr>
                <w:rFonts w:ascii="Titillium Web" w:hAnsi="Titillium Web"/>
              </w:rPr>
            </w:pPr>
            <w:r w:rsidRPr="08DDFCDE" w:rsidR="7AC220C5">
              <w:rPr>
                <w:rFonts w:ascii="Titillium Web" w:hAnsi="Titillium Web"/>
              </w:rPr>
              <w:t>5. Kylix attica (IG 16102; figure rosse)</w:t>
            </w:r>
            <w:proofErr w:type="spellStart"/>
            <w:proofErr w:type="spellEnd"/>
          </w:p>
          <w:p w:rsidRPr="00BB0DC2" w:rsidR="008156E4" w:rsidP="08DDFCDE" w:rsidRDefault="008156E4" w14:paraId="60C79755" w14:textId="6AA3FF54">
            <w:pPr>
              <w:jc w:val="center"/>
              <w:rPr>
                <w:rFonts w:ascii="Titillium Web" w:hAnsi="Titillium Web"/>
              </w:rPr>
            </w:pPr>
            <w:r w:rsidRPr="08DDFCDE" w:rsidR="7AC220C5">
              <w:rPr>
                <w:rFonts w:ascii="Titillium Web" w:hAnsi="Titillium Web"/>
              </w:rPr>
              <w:t>6. Guttus attico (IG 16099; figure rosse)</w:t>
            </w:r>
          </w:p>
          <w:p w:rsidRPr="00BB0DC2" w:rsidR="008156E4" w:rsidP="000F0978" w:rsidRDefault="008156E4" w14:paraId="64058738" w14:textId="06186873">
            <w:pPr>
              <w:jc w:val="center"/>
              <w:rPr>
                <w:rFonts w:ascii="Titillium Web" w:hAnsi="Titillium Web"/>
                <w:szCs w:val="24"/>
              </w:rPr>
            </w:pPr>
            <w:r w:rsidRPr="00BB0DC2">
              <w:rPr>
                <w:rFonts w:ascii="Titillium Web" w:hAnsi="Titillium Web"/>
                <w:szCs w:val="24"/>
              </w:rPr>
              <w:t>7. Skyphos attico (IG 699; vernice nera)</w:t>
            </w:r>
          </w:p>
          <w:p w:rsidRPr="00BB0DC2" w:rsidR="008156E4" w:rsidP="000F0978" w:rsidRDefault="008156E4" w14:paraId="43216C66" w14:textId="2BDE7CFC">
            <w:pPr>
              <w:jc w:val="center"/>
              <w:rPr>
                <w:rFonts w:ascii="Titillium Web" w:hAnsi="Titillium Web"/>
                <w:szCs w:val="24"/>
              </w:rPr>
            </w:pPr>
            <w:r w:rsidRPr="00BB0DC2">
              <w:rPr>
                <w:rFonts w:ascii="Titillium Web" w:hAnsi="Titillium Web"/>
                <w:szCs w:val="24"/>
              </w:rPr>
              <w:t>8. Skyphos attico (IG 700; vernice nera)</w:t>
            </w:r>
          </w:p>
          <w:p w:rsidRPr="00BB0DC2" w:rsidR="008156E4" w:rsidP="000F0978" w:rsidRDefault="008156E4" w14:paraId="744864F6" w14:textId="5E1CD942">
            <w:pPr>
              <w:jc w:val="center"/>
              <w:rPr>
                <w:rFonts w:ascii="Titillium Web" w:hAnsi="Titillium Web"/>
                <w:szCs w:val="24"/>
              </w:rPr>
            </w:pPr>
            <w:r w:rsidRPr="00BB0DC2">
              <w:rPr>
                <w:rFonts w:ascii="Titillium Web" w:hAnsi="Titillium Web"/>
                <w:szCs w:val="24"/>
              </w:rPr>
              <w:t>9. Piatto da pesce attico (IG 697; vernice nera)</w:t>
            </w:r>
          </w:p>
          <w:p w:rsidRPr="00BB0DC2" w:rsidR="008156E4" w:rsidP="000F0978" w:rsidRDefault="008156E4" w14:paraId="18561E64" w14:textId="789D2FDB">
            <w:pPr>
              <w:jc w:val="center"/>
              <w:rPr>
                <w:rFonts w:ascii="Titillium Web" w:hAnsi="Titillium Web"/>
                <w:szCs w:val="24"/>
              </w:rPr>
            </w:pPr>
            <w:r w:rsidRPr="00BB0DC2">
              <w:rPr>
                <w:rFonts w:ascii="Titillium Web" w:hAnsi="Titillium Web"/>
                <w:szCs w:val="24"/>
              </w:rPr>
              <w:t>10. Piatto da pesce attico (IG 16098; vernice nera)</w:t>
            </w:r>
          </w:p>
          <w:p w:rsidRPr="00BB0DC2" w:rsidR="008156E4" w:rsidP="000F0978" w:rsidRDefault="008156E4" w14:paraId="3AD8A0E5" w14:textId="17BF747F">
            <w:pPr>
              <w:jc w:val="center"/>
              <w:rPr>
                <w:rFonts w:ascii="Titillium Web" w:hAnsi="Titillium Web"/>
                <w:szCs w:val="24"/>
                <w:lang w:val="de-DE"/>
              </w:rPr>
            </w:pPr>
            <w:r w:rsidRPr="00BB0DC2">
              <w:rPr>
                <w:rFonts w:ascii="Titillium Web" w:hAnsi="Titillium Web"/>
                <w:szCs w:val="24"/>
                <w:lang w:val="de-DE"/>
              </w:rPr>
              <w:t xml:space="preserve">11. Lekanis </w:t>
            </w:r>
            <w:proofErr w:type="spellStart"/>
            <w:r w:rsidRPr="00BB0DC2">
              <w:rPr>
                <w:rFonts w:ascii="Titillium Web" w:hAnsi="Titillium Web"/>
                <w:szCs w:val="24"/>
                <w:lang w:val="de-DE"/>
              </w:rPr>
              <w:t>attica</w:t>
            </w:r>
            <w:proofErr w:type="spellEnd"/>
            <w:r w:rsidRPr="00BB0DC2">
              <w:rPr>
                <w:rFonts w:ascii="Titillium Web" w:hAnsi="Titillium Web"/>
                <w:szCs w:val="24"/>
                <w:lang w:val="de-DE"/>
              </w:rPr>
              <w:t xml:space="preserve"> (IG 695; </w:t>
            </w:r>
            <w:proofErr w:type="spellStart"/>
            <w:r w:rsidRPr="00BB0DC2">
              <w:rPr>
                <w:rFonts w:ascii="Titillium Web" w:hAnsi="Titillium Web"/>
                <w:szCs w:val="24"/>
                <w:lang w:val="de-DE"/>
              </w:rPr>
              <w:t>vernice</w:t>
            </w:r>
            <w:proofErr w:type="spellEnd"/>
            <w:r w:rsidRPr="00BB0DC2">
              <w:rPr>
                <w:rFonts w:ascii="Titillium Web" w:hAnsi="Titillium Web"/>
                <w:szCs w:val="24"/>
                <w:lang w:val="de-DE"/>
              </w:rPr>
              <w:t xml:space="preserve"> </w:t>
            </w:r>
            <w:proofErr w:type="spellStart"/>
            <w:r w:rsidRPr="00BB0DC2">
              <w:rPr>
                <w:rFonts w:ascii="Titillium Web" w:hAnsi="Titillium Web"/>
                <w:szCs w:val="24"/>
                <w:lang w:val="de-DE"/>
              </w:rPr>
              <w:t>nera</w:t>
            </w:r>
            <w:proofErr w:type="spellEnd"/>
            <w:r w:rsidRPr="00BB0DC2">
              <w:rPr>
                <w:rFonts w:ascii="Titillium Web" w:hAnsi="Titillium Web"/>
                <w:szCs w:val="24"/>
                <w:lang w:val="de-DE"/>
              </w:rPr>
              <w:t>)</w:t>
            </w:r>
          </w:p>
          <w:p w:rsidRPr="00BB0DC2" w:rsidR="008156E4" w:rsidP="000F0978" w:rsidRDefault="008156E4" w14:paraId="23A13E5F" w14:textId="0E482E4B">
            <w:pPr>
              <w:jc w:val="center"/>
              <w:rPr>
                <w:rFonts w:ascii="Titillium Web" w:hAnsi="Titillium Web"/>
                <w:szCs w:val="24"/>
              </w:rPr>
            </w:pPr>
            <w:r w:rsidRPr="00BB0DC2">
              <w:rPr>
                <w:rFonts w:ascii="Titillium Web" w:hAnsi="Titillium Web"/>
                <w:szCs w:val="24"/>
              </w:rPr>
              <w:t>12. Saliera attica (IG 701; vernice nera)</w:t>
            </w:r>
          </w:p>
          <w:p w:rsidRPr="00BB0DC2" w:rsidR="008156E4" w:rsidP="000F0978" w:rsidRDefault="008156E4" w14:paraId="7BE2796E" w14:textId="1208151A">
            <w:pPr>
              <w:jc w:val="center"/>
              <w:rPr>
                <w:rFonts w:ascii="Titillium Web" w:hAnsi="Titillium Web"/>
                <w:szCs w:val="24"/>
              </w:rPr>
            </w:pPr>
            <w:r w:rsidRPr="00BB0DC2">
              <w:rPr>
                <w:rFonts w:ascii="Titillium Web" w:hAnsi="Titillium Web"/>
                <w:szCs w:val="24"/>
              </w:rPr>
              <w:t>13. Saliera attica (IG 702; vernice nera)</w:t>
            </w:r>
          </w:p>
          <w:p w:rsidRPr="00BB0DC2" w:rsidR="001B5504" w:rsidP="000F0978" w:rsidRDefault="008156E4" w14:paraId="5EE32F9C" w14:textId="0B22957C">
            <w:pPr>
              <w:jc w:val="center"/>
              <w:rPr>
                <w:rFonts w:ascii="Titillium Web" w:hAnsi="Titillium Web"/>
                <w:szCs w:val="24"/>
              </w:rPr>
            </w:pPr>
            <w:r w:rsidRPr="00BB0DC2">
              <w:rPr>
                <w:rFonts w:ascii="Titillium Web" w:hAnsi="Titillium Web"/>
                <w:szCs w:val="24"/>
              </w:rPr>
              <w:t>14*. Cimasa di produzione locale (?) (IG 2305; bronzo)</w:t>
            </w:r>
          </w:p>
        </w:tc>
      </w:tr>
      <w:tr w:rsidRPr="00BB0DC2" w:rsidR="001B5504" w:rsidTr="08DDFCDE" w14:paraId="520D9732" w14:textId="77777777">
        <w:trPr>
          <w:jc w:val="center"/>
        </w:trPr>
        <w:tc>
          <w:tcPr>
            <w:tcW w:w="1650" w:type="pct"/>
            <w:tcMar/>
            <w:vAlign w:val="center"/>
          </w:tcPr>
          <w:p w:rsidRPr="00BB0DC2" w:rsidR="001B5504" w:rsidP="00BF212E" w:rsidRDefault="001B5504" w14:paraId="24BE97D5" w14:textId="77777777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B0DC2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tcMar/>
            <w:vAlign w:val="center"/>
          </w:tcPr>
          <w:p w:rsidRPr="00BB0DC2" w:rsidR="001B5504" w:rsidP="00BF212E" w:rsidRDefault="0056058F" w14:paraId="3ED37A74" w14:textId="6C0DEFDF">
            <w:pPr>
              <w:jc w:val="center"/>
              <w:rPr>
                <w:rFonts w:ascii="Titillium Web" w:hAnsi="Titillium Web"/>
                <w:szCs w:val="24"/>
              </w:rPr>
            </w:pPr>
            <w:r w:rsidRPr="00BB0DC2">
              <w:rPr>
                <w:rFonts w:ascii="Titillium Web" w:hAnsi="Titillium Web"/>
                <w:szCs w:val="24"/>
              </w:rPr>
              <w:t>In gruppo/i presso i resti</w:t>
            </w:r>
          </w:p>
        </w:tc>
      </w:tr>
      <w:tr w:rsidRPr="00BB0DC2" w:rsidR="001B5504" w:rsidTr="08DDFCDE" w14:paraId="05ACB002" w14:textId="77777777">
        <w:trPr>
          <w:jc w:val="center"/>
        </w:trPr>
        <w:tc>
          <w:tcPr>
            <w:tcW w:w="1650" w:type="pct"/>
            <w:tcMar/>
            <w:vAlign w:val="center"/>
          </w:tcPr>
          <w:p w:rsidRPr="00BB0DC2" w:rsidR="001B5504" w:rsidP="00BF212E" w:rsidRDefault="001B5504" w14:paraId="6E6E37F2" w14:textId="77777777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B0DC2">
              <w:rPr>
                <w:rFonts w:ascii="Titillium Web" w:hAnsi="Titillium Web"/>
                <w:smallCaps/>
                <w:szCs w:val="24"/>
              </w:rPr>
              <w:t>Stato di conservazione e affidabilità del corredo</w:t>
            </w:r>
          </w:p>
        </w:tc>
        <w:tc>
          <w:tcPr>
            <w:tcW w:w="3350" w:type="pct"/>
            <w:tcMar/>
            <w:vAlign w:val="center"/>
          </w:tcPr>
          <w:p w:rsidRPr="00BB0DC2" w:rsidR="001B5504" w:rsidP="00BF212E" w:rsidRDefault="007367E7" w14:paraId="66E8A271" w14:textId="2FCE9F11">
            <w:pPr>
              <w:jc w:val="center"/>
              <w:rPr>
                <w:rFonts w:ascii="Titillium Web" w:hAnsi="Titillium Web"/>
                <w:szCs w:val="24"/>
              </w:rPr>
            </w:pPr>
            <w:r w:rsidRPr="00BB0DC2">
              <w:rPr>
                <w:rFonts w:ascii="Titillium Web" w:hAnsi="Titillium Web" w:cs="Times New Roman"/>
                <w:szCs w:val="24"/>
              </w:rPr>
              <w:t xml:space="preserve">Al corredo sono stati attribuiti, in un momento successivo, un cratere attico a </w:t>
            </w:r>
            <w:proofErr w:type="spellStart"/>
            <w:r w:rsidRPr="00BB0DC2">
              <w:rPr>
                <w:rFonts w:ascii="Titillium Web" w:hAnsi="Titillium Web" w:cs="Times New Roman"/>
                <w:szCs w:val="24"/>
              </w:rPr>
              <w:t>f.r</w:t>
            </w:r>
            <w:proofErr w:type="spellEnd"/>
            <w:r w:rsidRPr="00BB0DC2">
              <w:rPr>
                <w:rFonts w:ascii="Titillium Web" w:hAnsi="Titillium Web" w:cs="Times New Roman"/>
                <w:szCs w:val="24"/>
              </w:rPr>
              <w:t>., sei ciotole attiche a v.n., un piatto in ceramica depurata locale e un chiodo in bronzo.</w:t>
            </w:r>
          </w:p>
        </w:tc>
      </w:tr>
      <w:tr w:rsidRPr="00BB0DC2" w:rsidR="001B5504" w:rsidTr="08DDFCDE" w14:paraId="6E424069" w14:textId="77777777">
        <w:trPr>
          <w:jc w:val="center"/>
        </w:trPr>
        <w:tc>
          <w:tcPr>
            <w:tcW w:w="1650" w:type="pct"/>
            <w:tcMar/>
            <w:vAlign w:val="center"/>
          </w:tcPr>
          <w:p w:rsidRPr="00BB0DC2" w:rsidR="001B5504" w:rsidP="00BF212E" w:rsidRDefault="001B5504" w14:paraId="4CE8DFDE" w14:textId="77777777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B0DC2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tcMar/>
            <w:vAlign w:val="center"/>
          </w:tcPr>
          <w:p w:rsidRPr="00BB0DC2" w:rsidR="001B5504" w:rsidP="00BF212E" w:rsidRDefault="001B5504" w14:paraId="04E55D8B" w14:textId="15D5D226">
            <w:pPr>
              <w:jc w:val="center"/>
              <w:rPr>
                <w:rFonts w:ascii="Titillium Web" w:hAnsi="Titillium Web"/>
                <w:szCs w:val="24"/>
              </w:rPr>
            </w:pPr>
            <w:r w:rsidRPr="00BB0DC2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Pr="00BB0DC2" w:rsidR="001B5504" w:rsidTr="08DDFCDE" w14:paraId="7C1BF645" w14:textId="77777777">
        <w:trPr>
          <w:jc w:val="center"/>
        </w:trPr>
        <w:tc>
          <w:tcPr>
            <w:tcW w:w="1650" w:type="pct"/>
            <w:tcMar/>
            <w:vAlign w:val="center"/>
          </w:tcPr>
          <w:p w:rsidRPr="00BB0DC2" w:rsidR="001B5504" w:rsidP="00BF212E" w:rsidRDefault="001B5504" w14:paraId="7EADEEB5" w14:textId="77777777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B0DC2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tcMar/>
            <w:vAlign w:val="center"/>
          </w:tcPr>
          <w:p w:rsidRPr="00BB0DC2" w:rsidR="001B5504" w:rsidP="00BF212E" w:rsidRDefault="001B5504" w14:paraId="5D17FB99" w14:textId="46EBB367">
            <w:pPr>
              <w:jc w:val="center"/>
              <w:rPr>
                <w:rFonts w:ascii="Titillium Web" w:hAnsi="Titillium Web"/>
                <w:szCs w:val="24"/>
              </w:rPr>
            </w:pPr>
            <w:r w:rsidRPr="00BB0DC2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Pr="00BB0DC2" w:rsidR="001B5504" w:rsidTr="08DDFCDE" w14:paraId="498C4222" w14:textId="77777777">
        <w:trPr>
          <w:jc w:val="center"/>
        </w:trPr>
        <w:tc>
          <w:tcPr>
            <w:tcW w:w="1650" w:type="pct"/>
            <w:tcMar/>
            <w:vAlign w:val="center"/>
          </w:tcPr>
          <w:p w:rsidRPr="00BB0DC2" w:rsidR="001B5504" w:rsidP="00BF212E" w:rsidRDefault="001B5504" w14:paraId="57C39F2A" w14:textId="77777777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B0DC2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tcMar/>
            <w:vAlign w:val="center"/>
          </w:tcPr>
          <w:p w:rsidRPr="00BB0DC2" w:rsidR="001B5504" w:rsidP="00BF212E" w:rsidRDefault="001B5504" w14:paraId="3FA8CB4E" w14:textId="5B4E47B7">
            <w:pPr>
              <w:jc w:val="center"/>
              <w:rPr>
                <w:rFonts w:ascii="Titillium Web" w:hAnsi="Titillium Web"/>
                <w:szCs w:val="24"/>
              </w:rPr>
            </w:pPr>
            <w:r w:rsidRPr="00BB0DC2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Pr="00BB0DC2" w:rsidR="001B5504" w:rsidTr="08DDFCDE" w14:paraId="698056B7" w14:textId="77777777">
        <w:trPr>
          <w:jc w:val="center"/>
        </w:trPr>
        <w:tc>
          <w:tcPr>
            <w:tcW w:w="1650" w:type="pct"/>
            <w:tcMar/>
            <w:vAlign w:val="center"/>
          </w:tcPr>
          <w:p w:rsidRPr="00BB0DC2" w:rsidR="001B5504" w:rsidP="00BF212E" w:rsidRDefault="001B5504" w14:paraId="225E12C1" w14:textId="77777777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B0DC2">
              <w:rPr>
                <w:rFonts w:ascii="Titillium Web" w:hAnsi="Titillium Web"/>
                <w:smallCaps/>
                <w:szCs w:val="24"/>
              </w:rPr>
              <w:t>Cronologia</w:t>
            </w:r>
          </w:p>
        </w:tc>
        <w:tc>
          <w:tcPr>
            <w:tcW w:w="3350" w:type="pct"/>
            <w:tcMar/>
            <w:vAlign w:val="center"/>
          </w:tcPr>
          <w:p w:rsidRPr="00BB0DC2" w:rsidR="001B5504" w:rsidP="00BF212E" w:rsidRDefault="001B5504" w14:paraId="440AB2F6" w14:textId="65221464">
            <w:pPr>
              <w:jc w:val="center"/>
              <w:rPr>
                <w:rFonts w:ascii="Titillium Web" w:hAnsi="Titillium Web"/>
                <w:szCs w:val="24"/>
              </w:rPr>
            </w:pPr>
            <w:r w:rsidRPr="00BB0DC2">
              <w:rPr>
                <w:rFonts w:ascii="Titillium Web" w:hAnsi="Titillium Web"/>
                <w:szCs w:val="24"/>
              </w:rPr>
              <w:t>375-350 a.C.</w:t>
            </w:r>
          </w:p>
        </w:tc>
      </w:tr>
      <w:tr w:rsidRPr="00BB0DC2" w:rsidR="001B5504" w:rsidTr="08DDFCDE" w14:paraId="3105DEE4" w14:textId="77777777">
        <w:trPr>
          <w:jc w:val="center"/>
        </w:trPr>
        <w:tc>
          <w:tcPr>
            <w:tcW w:w="1650" w:type="pct"/>
            <w:tcMar/>
            <w:vAlign w:val="center"/>
          </w:tcPr>
          <w:p w:rsidRPr="00BB0DC2" w:rsidR="001B5504" w:rsidP="00BF212E" w:rsidRDefault="001B5504" w14:paraId="2DF8B210" w14:textId="77777777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B0DC2">
              <w:rPr>
                <w:rFonts w:ascii="Titillium Web" w:hAnsi="Titillium Web"/>
                <w:smallCaps/>
                <w:szCs w:val="24"/>
              </w:rPr>
              <w:t>Bibliografia (della tomba)</w:t>
            </w:r>
          </w:p>
        </w:tc>
        <w:tc>
          <w:tcPr>
            <w:tcW w:w="3350" w:type="pct"/>
            <w:tcMar/>
            <w:vAlign w:val="center"/>
          </w:tcPr>
          <w:p w:rsidRPr="00BB0DC2" w:rsidR="001B5504" w:rsidP="00BF212E" w:rsidRDefault="001B5504" w14:paraId="38D3D101" w14:textId="67752328">
            <w:pPr>
              <w:jc w:val="center"/>
              <w:rPr>
                <w:rFonts w:ascii="Titillium Web" w:hAnsi="Titillium Web"/>
                <w:szCs w:val="24"/>
              </w:rPr>
            </w:pPr>
            <w:r w:rsidRPr="00BB0DC2">
              <w:rPr>
                <w:rFonts w:ascii="Titillium Web" w:hAnsi="Titillium Web"/>
                <w:smallCaps/>
                <w:szCs w:val="24"/>
              </w:rPr>
              <w:t>Massei</w:t>
            </w:r>
            <w:r w:rsidRPr="00BB0DC2">
              <w:rPr>
                <w:rFonts w:ascii="Titillium Web" w:hAnsi="Titillium Web"/>
                <w:szCs w:val="24"/>
              </w:rPr>
              <w:t xml:space="preserve"> 1978, pp. 98-100, tavv. XXIV, n. 3; </w:t>
            </w:r>
            <w:r w:rsidRPr="00BB0DC2">
              <w:rPr>
                <w:rFonts w:ascii="Titillium Web" w:hAnsi="Titillium Web"/>
                <w:smallCaps/>
                <w:szCs w:val="24"/>
              </w:rPr>
              <w:t>Berti</w:t>
            </w:r>
            <w:r w:rsidRPr="00BB0DC2">
              <w:rPr>
                <w:rFonts w:ascii="Titillium Web" w:hAnsi="Titillium Web"/>
                <w:szCs w:val="24"/>
              </w:rPr>
              <w:t xml:space="preserve"> 1983, p. 36.</w:t>
            </w:r>
          </w:p>
        </w:tc>
      </w:tr>
      <w:tr w:rsidRPr="00BB0DC2" w:rsidR="001B5504" w:rsidTr="08DDFCDE" w14:paraId="6887A6E3" w14:textId="77777777">
        <w:trPr>
          <w:jc w:val="center"/>
        </w:trPr>
        <w:tc>
          <w:tcPr>
            <w:tcW w:w="1650" w:type="pct"/>
            <w:tcMar/>
            <w:vAlign w:val="center"/>
          </w:tcPr>
          <w:p w:rsidRPr="00BB0DC2" w:rsidR="001B5504" w:rsidP="00BF212E" w:rsidRDefault="001B5504" w14:paraId="4944AE43" w14:textId="77777777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B0DC2">
              <w:rPr>
                <w:rFonts w:ascii="Titillium Web" w:hAnsi="Titillium Web"/>
                <w:smallCaps/>
                <w:szCs w:val="24"/>
              </w:rPr>
              <w:t>Link alla pubblicazione</w:t>
            </w:r>
          </w:p>
        </w:tc>
        <w:tc>
          <w:tcPr>
            <w:tcW w:w="3350" w:type="pct"/>
            <w:tcMar/>
            <w:vAlign w:val="center"/>
          </w:tcPr>
          <w:p w:rsidRPr="00BB0DC2" w:rsidR="001B5504" w:rsidP="00BF212E" w:rsidRDefault="001B5504" w14:paraId="6ADE2D95" w14:textId="5EBDA977">
            <w:pPr>
              <w:jc w:val="center"/>
              <w:rPr>
                <w:rFonts w:ascii="Titillium Web" w:hAnsi="Titillium Web"/>
                <w:szCs w:val="24"/>
              </w:rPr>
            </w:pPr>
          </w:p>
        </w:tc>
      </w:tr>
    </w:tbl>
    <w:p w:rsidRPr="00C30F5C" w:rsidR="001B5504" w:rsidP="001B5504" w:rsidRDefault="001B5504" w14:paraId="4DC97993" w14:textId="77777777">
      <w:pPr>
        <w:jc w:val="center"/>
        <w:rPr>
          <w:rFonts w:ascii="Titillium Web" w:hAnsi="Titillium Web"/>
          <w:b/>
          <w:bCs/>
          <w:sz w:val="28"/>
          <w:szCs w:val="24"/>
        </w:rPr>
      </w:pPr>
    </w:p>
    <w:sectPr w:rsidRPr="00C30F5C" w:rsidR="001B5504" w:rsidSect="005B5AFF">
      <w:pgSz w:w="11906" w:h="16838" w:orient="portrait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35997"/>
    <w:multiLevelType w:val="hybridMultilevel"/>
    <w:tmpl w:val="C2DE6EE8"/>
    <w:lvl w:ilvl="0" w:tplc="FD9E36EE">
      <w:start w:val="13"/>
      <w:numFmt w:val="bullet"/>
      <w:lvlText w:val=""/>
      <w:lvlJc w:val="left"/>
      <w:pPr>
        <w:ind w:left="720" w:hanging="360"/>
      </w:pPr>
      <w:rPr>
        <w:rFonts w:hint="default" w:ascii="Symbol" w:hAnsi="Symbol" w:eastAsiaTheme="minorHAnsi" w:cstheme="minorBidi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47195BB3"/>
    <w:multiLevelType w:val="hybridMultilevel"/>
    <w:tmpl w:val="6C4E81AC"/>
    <w:lvl w:ilvl="0" w:tplc="04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843980534">
    <w:abstractNumId w:val="0"/>
  </w:num>
  <w:num w:numId="2" w16cid:durableId="1139692260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B2D"/>
    <w:rsid w:val="00006FBF"/>
    <w:rsid w:val="00014214"/>
    <w:rsid w:val="000D72F4"/>
    <w:rsid w:val="000F0978"/>
    <w:rsid w:val="001230C8"/>
    <w:rsid w:val="001B5504"/>
    <w:rsid w:val="001F2833"/>
    <w:rsid w:val="0029024B"/>
    <w:rsid w:val="002977D7"/>
    <w:rsid w:val="002F1500"/>
    <w:rsid w:val="00472AF4"/>
    <w:rsid w:val="00532D01"/>
    <w:rsid w:val="0056058F"/>
    <w:rsid w:val="005B5AFF"/>
    <w:rsid w:val="0068458A"/>
    <w:rsid w:val="00710B38"/>
    <w:rsid w:val="007145BC"/>
    <w:rsid w:val="007367E7"/>
    <w:rsid w:val="007D54CD"/>
    <w:rsid w:val="008156E4"/>
    <w:rsid w:val="00942E70"/>
    <w:rsid w:val="00943EAC"/>
    <w:rsid w:val="00950348"/>
    <w:rsid w:val="00975CA9"/>
    <w:rsid w:val="00997946"/>
    <w:rsid w:val="009B34A5"/>
    <w:rsid w:val="009E4922"/>
    <w:rsid w:val="00A52A70"/>
    <w:rsid w:val="00B165C4"/>
    <w:rsid w:val="00B50FF5"/>
    <w:rsid w:val="00B86B2D"/>
    <w:rsid w:val="00BB0DC2"/>
    <w:rsid w:val="00BE2CB2"/>
    <w:rsid w:val="00BE63CC"/>
    <w:rsid w:val="00BF212E"/>
    <w:rsid w:val="00C21EE0"/>
    <w:rsid w:val="00C30F5C"/>
    <w:rsid w:val="00CC46E5"/>
    <w:rsid w:val="00D54723"/>
    <w:rsid w:val="00DB1668"/>
    <w:rsid w:val="00E0524C"/>
    <w:rsid w:val="047929FC"/>
    <w:rsid w:val="08DDFCDE"/>
    <w:rsid w:val="1A4D1F21"/>
    <w:rsid w:val="42AF4310"/>
    <w:rsid w:val="444E70CA"/>
    <w:rsid w:val="5BC400AC"/>
    <w:rsid w:val="5E711D43"/>
    <w:rsid w:val="62209016"/>
    <w:rsid w:val="7AC22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566EA0"/>
  <w15:chartTrackingRefBased/>
  <w15:docId w15:val="{475B289C-F9A1-4717-B3D6-E982B8FC7C1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Theme="minorHAnsi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e" w:default="1">
    <w:name w:val="Normal"/>
    <w:qFormat/>
    <w:rsid w:val="00014214"/>
  </w:style>
  <w:style w:type="paragraph" w:styleId="Titolo1">
    <w:name w:val="heading 1"/>
    <w:basedOn w:val="Normale"/>
    <w:next w:val="Normale"/>
    <w:link w:val="Titolo1Carattere"/>
    <w:uiPriority w:val="9"/>
    <w:qFormat/>
    <w:rsid w:val="00B86B2D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86B2D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86B2D"/>
    <w:pPr>
      <w:keepNext/>
      <w:keepLines/>
      <w:spacing w:before="160" w:after="80"/>
      <w:outlineLvl w:val="2"/>
    </w:pPr>
    <w:rPr>
      <w:rFonts w:asciiTheme="minorHAnsi" w:hAnsiTheme="minorHAnsi"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86B2D"/>
    <w:pPr>
      <w:keepNext/>
      <w:keepLines/>
      <w:spacing w:before="80" w:after="40"/>
      <w:outlineLvl w:val="3"/>
    </w:pPr>
    <w:rPr>
      <w:rFonts w:asciiTheme="minorHAnsi" w:hAnsiTheme="minorHAnsi"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86B2D"/>
    <w:pPr>
      <w:keepNext/>
      <w:keepLines/>
      <w:spacing w:before="80" w:after="40"/>
      <w:outlineLvl w:val="4"/>
    </w:pPr>
    <w:rPr>
      <w:rFonts w:asciiTheme="minorHAnsi" w:hAnsiTheme="minorHAnsi"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86B2D"/>
    <w:pPr>
      <w:keepNext/>
      <w:keepLines/>
      <w:spacing w:before="40" w:after="0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86B2D"/>
    <w:pPr>
      <w:keepNext/>
      <w:keepLines/>
      <w:spacing w:before="40" w:after="0"/>
      <w:outlineLvl w:val="6"/>
    </w:pPr>
    <w:rPr>
      <w:rFonts w:asciiTheme="minorHAnsi" w:hAnsiTheme="minorHAnsi"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86B2D"/>
    <w:pPr>
      <w:keepNext/>
      <w:keepLines/>
      <w:spacing w:after="0"/>
      <w:outlineLvl w:val="7"/>
    </w:pPr>
    <w:rPr>
      <w:rFonts w:asciiTheme="minorHAnsi" w:hAnsiTheme="minorHAnsi"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86B2D"/>
    <w:pPr>
      <w:keepNext/>
      <w:keepLines/>
      <w:spacing w:after="0"/>
      <w:outlineLvl w:val="8"/>
    </w:pPr>
    <w:rPr>
      <w:rFonts w:asciiTheme="minorHAnsi" w:hAnsiTheme="minorHAnsi" w:eastAsiaTheme="majorEastAsia" w:cstheme="majorBidi"/>
      <w:color w:val="272727" w:themeColor="text1" w:themeTint="D8"/>
    </w:rPr>
  </w:style>
  <w:style w:type="character" w:styleId="Carpredefinitoparagrafo" w:default="1">
    <w:name w:val="Default Paragraph Font"/>
    <w:uiPriority w:val="1"/>
    <w:semiHidden/>
    <w:unhideWhenUsed/>
  </w:style>
  <w:style w:type="table" w:styleId="Tabellanorma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essunelenco" w:default="1">
    <w:name w:val="No List"/>
    <w:uiPriority w:val="99"/>
    <w:semiHidden/>
    <w:unhideWhenUsed/>
  </w:style>
  <w:style w:type="character" w:styleId="Titolo1Carattere" w:customStyle="1">
    <w:name w:val="Titolo 1 Carattere"/>
    <w:basedOn w:val="Carpredefinitoparagrafo"/>
    <w:link w:val="Titolo1"/>
    <w:uiPriority w:val="9"/>
    <w:rsid w:val="00B86B2D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itolo2Carattere" w:customStyle="1">
    <w:name w:val="Titolo 2 Carattere"/>
    <w:basedOn w:val="Carpredefinitoparagrafo"/>
    <w:link w:val="Titolo2"/>
    <w:uiPriority w:val="9"/>
    <w:semiHidden/>
    <w:rsid w:val="00B86B2D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itolo3Carattere" w:customStyle="1">
    <w:name w:val="Titolo 3 Carattere"/>
    <w:basedOn w:val="Carpredefinitoparagrafo"/>
    <w:link w:val="Titolo3"/>
    <w:uiPriority w:val="9"/>
    <w:semiHidden/>
    <w:rsid w:val="00B86B2D"/>
    <w:rPr>
      <w:rFonts w:asciiTheme="minorHAnsi" w:hAnsiTheme="minorHAnsi" w:eastAsiaTheme="majorEastAsia" w:cstheme="majorBidi"/>
      <w:color w:val="0F4761" w:themeColor="accent1" w:themeShade="BF"/>
      <w:sz w:val="28"/>
      <w:szCs w:val="28"/>
    </w:rPr>
  </w:style>
  <w:style w:type="character" w:styleId="Titolo4Carattere" w:customStyle="1">
    <w:name w:val="Titolo 4 Carattere"/>
    <w:basedOn w:val="Carpredefinitoparagrafo"/>
    <w:link w:val="Titolo4"/>
    <w:uiPriority w:val="9"/>
    <w:semiHidden/>
    <w:rsid w:val="00B86B2D"/>
    <w:rPr>
      <w:rFonts w:asciiTheme="minorHAnsi" w:hAnsiTheme="minorHAnsi" w:eastAsiaTheme="majorEastAsia" w:cstheme="majorBidi"/>
      <w:i/>
      <w:iCs/>
      <w:color w:val="0F4761" w:themeColor="accent1" w:themeShade="BF"/>
    </w:rPr>
  </w:style>
  <w:style w:type="character" w:styleId="Titolo5Carattere" w:customStyle="1">
    <w:name w:val="Titolo 5 Carattere"/>
    <w:basedOn w:val="Carpredefinitoparagrafo"/>
    <w:link w:val="Titolo5"/>
    <w:uiPriority w:val="9"/>
    <w:semiHidden/>
    <w:rsid w:val="00B86B2D"/>
    <w:rPr>
      <w:rFonts w:asciiTheme="minorHAnsi" w:hAnsiTheme="minorHAnsi" w:eastAsiaTheme="majorEastAsia" w:cstheme="majorBidi"/>
      <w:color w:val="0F4761" w:themeColor="accent1" w:themeShade="BF"/>
    </w:rPr>
  </w:style>
  <w:style w:type="character" w:styleId="Titolo6Carattere" w:customStyle="1">
    <w:name w:val="Titolo 6 Carattere"/>
    <w:basedOn w:val="Carpredefinitoparagrafo"/>
    <w:link w:val="Titolo6"/>
    <w:uiPriority w:val="9"/>
    <w:semiHidden/>
    <w:rsid w:val="00B86B2D"/>
    <w:rPr>
      <w:rFonts w:asciiTheme="minorHAnsi" w:hAnsiTheme="minorHAnsi" w:eastAsiaTheme="majorEastAsia" w:cstheme="majorBidi"/>
      <w:i/>
      <w:iCs/>
      <w:color w:val="595959" w:themeColor="text1" w:themeTint="A6"/>
    </w:rPr>
  </w:style>
  <w:style w:type="character" w:styleId="Titolo7Carattere" w:customStyle="1">
    <w:name w:val="Titolo 7 Carattere"/>
    <w:basedOn w:val="Carpredefinitoparagrafo"/>
    <w:link w:val="Titolo7"/>
    <w:uiPriority w:val="9"/>
    <w:semiHidden/>
    <w:rsid w:val="00B86B2D"/>
    <w:rPr>
      <w:rFonts w:asciiTheme="minorHAnsi" w:hAnsiTheme="minorHAnsi" w:eastAsiaTheme="majorEastAsia" w:cstheme="majorBidi"/>
      <w:color w:val="595959" w:themeColor="text1" w:themeTint="A6"/>
    </w:rPr>
  </w:style>
  <w:style w:type="character" w:styleId="Titolo8Carattere" w:customStyle="1">
    <w:name w:val="Titolo 8 Carattere"/>
    <w:basedOn w:val="Carpredefinitoparagrafo"/>
    <w:link w:val="Titolo8"/>
    <w:uiPriority w:val="9"/>
    <w:semiHidden/>
    <w:rsid w:val="00B86B2D"/>
    <w:rPr>
      <w:rFonts w:asciiTheme="minorHAnsi" w:hAnsiTheme="minorHAnsi" w:eastAsiaTheme="majorEastAsia" w:cstheme="majorBidi"/>
      <w:i/>
      <w:iCs/>
      <w:color w:val="272727" w:themeColor="text1" w:themeTint="D8"/>
    </w:rPr>
  </w:style>
  <w:style w:type="character" w:styleId="Titolo9Carattere" w:customStyle="1">
    <w:name w:val="Titolo 9 Carattere"/>
    <w:basedOn w:val="Carpredefinitoparagrafo"/>
    <w:link w:val="Titolo9"/>
    <w:uiPriority w:val="9"/>
    <w:semiHidden/>
    <w:rsid w:val="00B86B2D"/>
    <w:rPr>
      <w:rFonts w:asciiTheme="minorHAnsi" w:hAnsiTheme="minorHAnsi"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86B2D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oloCarattere" w:customStyle="1">
    <w:name w:val="Titolo Carattere"/>
    <w:basedOn w:val="Carpredefinitoparagrafo"/>
    <w:link w:val="Titolo"/>
    <w:uiPriority w:val="10"/>
    <w:rsid w:val="00B86B2D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86B2D"/>
    <w:pPr>
      <w:numPr>
        <w:ilvl w:val="1"/>
      </w:numPr>
    </w:pPr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</w:rPr>
  </w:style>
  <w:style w:type="character" w:styleId="SottotitoloCarattere" w:customStyle="1">
    <w:name w:val="Sottotitolo Carattere"/>
    <w:basedOn w:val="Carpredefinitoparagrafo"/>
    <w:link w:val="Sottotitolo"/>
    <w:uiPriority w:val="11"/>
    <w:rsid w:val="00B86B2D"/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86B2D"/>
    <w:pPr>
      <w:spacing w:before="160"/>
      <w:jc w:val="center"/>
    </w:pPr>
    <w:rPr>
      <w:i/>
      <w:iCs/>
      <w:color w:val="404040" w:themeColor="text1" w:themeTint="BF"/>
    </w:rPr>
  </w:style>
  <w:style w:type="character" w:styleId="CitazioneCarattere" w:customStyle="1">
    <w:name w:val="Citazione Carattere"/>
    <w:basedOn w:val="Carpredefinitoparagrafo"/>
    <w:link w:val="Citazione"/>
    <w:uiPriority w:val="29"/>
    <w:rsid w:val="00B86B2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86B2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86B2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86B2D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zioneintensaCarattere" w:customStyle="1">
    <w:name w:val="Citazione intensa Carattere"/>
    <w:basedOn w:val="Carpredefinitoparagrafo"/>
    <w:link w:val="Citazioneintensa"/>
    <w:uiPriority w:val="30"/>
    <w:rsid w:val="00B86B2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86B2D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014214"/>
    <w:pPr>
      <w:spacing w:after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Collegamentoipertestuale">
    <w:name w:val="Hyperlink"/>
    <w:basedOn w:val="Carpredefinitoparagrafo"/>
    <w:uiPriority w:val="99"/>
    <w:unhideWhenUsed/>
    <w:rsid w:val="00950348"/>
    <w:rPr>
      <w:color w:val="467886" w:themeColor="hyperlink"/>
      <w:u w:val="single"/>
    </w:rPr>
  </w:style>
  <w:style w:type="paragraph" w:styleId="Revisione">
    <w:name w:val="Revision"/>
    <w:hidden/>
    <w:uiPriority w:val="99"/>
    <w:semiHidden/>
    <w:rsid w:val="00710B38"/>
    <w:pPr>
      <w:spacing w:after="0"/>
      <w:jc w:val="left"/>
    </w:pPr>
  </w:style>
  <w:style w:type="character" w:styleId="Rimandocommento">
    <w:name w:val="annotation reference"/>
    <w:basedOn w:val="Carpredefinitoparagrafo"/>
    <w:uiPriority w:val="99"/>
    <w:semiHidden/>
    <w:unhideWhenUsed/>
    <w:rsid w:val="00710B38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710B38"/>
    <w:rPr>
      <w:sz w:val="20"/>
      <w:szCs w:val="20"/>
    </w:rPr>
  </w:style>
  <w:style w:type="character" w:styleId="TestocommentoCarattere" w:customStyle="1">
    <w:name w:val="Testo commento Carattere"/>
    <w:basedOn w:val="Carpredefinitoparagrafo"/>
    <w:link w:val="Testocommento"/>
    <w:uiPriority w:val="99"/>
    <w:semiHidden/>
    <w:rsid w:val="00710B38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710B38"/>
    <w:rPr>
      <w:b/>
      <w:bCs/>
    </w:rPr>
  </w:style>
  <w:style w:type="character" w:styleId="SoggettocommentoCarattere" w:customStyle="1">
    <w:name w:val="Soggetto commento Carattere"/>
    <w:basedOn w:val="TestocommentoCarattere"/>
    <w:link w:val="Soggettocommento"/>
    <w:uiPriority w:val="99"/>
    <w:semiHidden/>
    <w:rsid w:val="00710B3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martina castoldi</dc:creator>
  <keywords/>
  <dc:description/>
  <lastModifiedBy>Carlotta Trevisanello</lastModifiedBy>
  <revision>19</revision>
  <dcterms:created xsi:type="dcterms:W3CDTF">2026-04-28T14:33:00.0000000Z</dcterms:created>
  <dcterms:modified xsi:type="dcterms:W3CDTF">2026-05-17T14:35:29.7302086Z</dcterms:modified>
</coreProperties>
</file>