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408</w:t>
      </w:r>
    </w:p>
    <w:tbl>
      <w:tblPr>
        <w:tblStyle w:val="Grigliatabella"/>
        <w:tblW w:w="5000" w:type="pct"/>
        <w:jc w:val="center"/>
        <w:tblLook w:val="04A0" w:firstRow="1" w:lastRow="0" w:firstColumn="1" w:lastColumn="0" w:noHBand="0" w:noVBand="1"/>
      </w:tblPr>
      <w:tblGrid>
        <w:gridCol w:w="2990"/>
        <w:gridCol w:w="6070"/>
      </w:tblGrid>
      <w:tr w:rsidR="0086297F" w:rsidRPr="00041F5C" w14:paraId="69604347" w14:textId="77777777" w:rsidTr="002665C6">
        <w:trPr>
          <w:jc w:val="center"/>
        </w:trPr>
        <w:tc>
          <w:tcPr>
            <w:tcW w:w="1650" w:type="pct"/>
            <w:vAlign w:val="center"/>
          </w:tcPr>
          <w:p w14:paraId="59258D49"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Anno di rinvenimento</w:t>
            </w:r>
          </w:p>
        </w:tc>
        <w:tc>
          <w:tcPr>
            <w:tcW w:w="3350" w:type="pct"/>
            <w:vAlign w:val="center"/>
          </w:tcPr>
          <w:p w14:paraId="10AA1E7C" w14:textId="59BFE2EE" w:rsidR="0086297F" w:rsidRPr="00041F5C" w:rsidRDefault="0086297F" w:rsidP="002665C6">
            <w:pPr>
              <w:jc w:val="center"/>
              <w:rPr>
                <w:rFonts w:ascii="Titillium Web" w:hAnsi="Titillium Web"/>
                <w:szCs w:val="24"/>
              </w:rPr>
            </w:pPr>
            <w:r w:rsidRPr="00041F5C">
              <w:rPr>
                <w:rFonts w:ascii="Titillium Web" w:hAnsi="Titillium Web"/>
                <w:szCs w:val="24"/>
              </w:rPr>
              <w:t>1925</w:t>
            </w:r>
          </w:p>
        </w:tc>
      </w:tr>
      <w:tr w:rsidR="0086297F" w:rsidRPr="00041F5C" w14:paraId="3B6B9C62" w14:textId="77777777" w:rsidTr="002665C6">
        <w:trPr>
          <w:jc w:val="center"/>
        </w:trPr>
        <w:tc>
          <w:tcPr>
            <w:tcW w:w="1650" w:type="pct"/>
            <w:vAlign w:val="center"/>
          </w:tcPr>
          <w:p w14:paraId="2D01D888"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Stato di conservazione della tomba</w:t>
            </w:r>
          </w:p>
        </w:tc>
        <w:tc>
          <w:tcPr>
            <w:tcW w:w="3350" w:type="pct"/>
            <w:vAlign w:val="center"/>
          </w:tcPr>
          <w:p w14:paraId="3ADC95CD" w14:textId="31719CCD" w:rsidR="0086297F" w:rsidRPr="00041F5C" w:rsidRDefault="0086297F" w:rsidP="002665C6">
            <w:pPr>
              <w:jc w:val="center"/>
              <w:rPr>
                <w:rFonts w:ascii="Titillium Web" w:hAnsi="Titillium Web"/>
                <w:szCs w:val="24"/>
              </w:rPr>
            </w:pPr>
            <w:r w:rsidRPr="00041F5C">
              <w:rPr>
                <w:rFonts w:ascii="Titillium Web" w:hAnsi="Titillium Web"/>
                <w:szCs w:val="24"/>
              </w:rPr>
              <w:t>Intatta</w:t>
            </w:r>
          </w:p>
        </w:tc>
      </w:tr>
      <w:tr w:rsidR="0086297F" w:rsidRPr="00041F5C" w14:paraId="3D165E1E" w14:textId="77777777" w:rsidTr="002665C6">
        <w:trPr>
          <w:jc w:val="center"/>
        </w:trPr>
        <w:tc>
          <w:tcPr>
            <w:tcW w:w="1650" w:type="pct"/>
            <w:vAlign w:val="center"/>
          </w:tcPr>
          <w:p w14:paraId="2A5B3D4F"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Rito di seppellimento</w:t>
            </w:r>
          </w:p>
        </w:tc>
        <w:tc>
          <w:tcPr>
            <w:tcW w:w="3350" w:type="pct"/>
            <w:vAlign w:val="center"/>
          </w:tcPr>
          <w:p w14:paraId="094BD426" w14:textId="6E99443A" w:rsidR="0086297F" w:rsidRPr="00041F5C" w:rsidRDefault="0086297F" w:rsidP="002665C6">
            <w:pPr>
              <w:jc w:val="center"/>
              <w:rPr>
                <w:rFonts w:ascii="Titillium Web" w:hAnsi="Titillium Web"/>
                <w:szCs w:val="24"/>
              </w:rPr>
            </w:pPr>
            <w:r w:rsidRPr="00041F5C">
              <w:rPr>
                <w:rFonts w:ascii="Titillium Web" w:hAnsi="Titillium Web"/>
                <w:szCs w:val="24"/>
              </w:rPr>
              <w:t>Inumazione</w:t>
            </w:r>
          </w:p>
        </w:tc>
      </w:tr>
      <w:tr w:rsidR="0086297F" w:rsidRPr="00041F5C" w14:paraId="44CADBCB" w14:textId="77777777" w:rsidTr="002665C6">
        <w:trPr>
          <w:jc w:val="center"/>
        </w:trPr>
        <w:tc>
          <w:tcPr>
            <w:tcW w:w="1650" w:type="pct"/>
            <w:vAlign w:val="center"/>
          </w:tcPr>
          <w:p w14:paraId="1E25741A"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Struttura tomba</w:t>
            </w:r>
          </w:p>
        </w:tc>
        <w:tc>
          <w:tcPr>
            <w:tcW w:w="3350" w:type="pct"/>
            <w:vAlign w:val="center"/>
          </w:tcPr>
          <w:p w14:paraId="1DE3BCB3" w14:textId="08DB6A85" w:rsidR="0086297F" w:rsidRPr="00041F5C" w:rsidRDefault="0086297F" w:rsidP="002665C6">
            <w:pPr>
              <w:jc w:val="center"/>
              <w:rPr>
                <w:rFonts w:ascii="Titillium Web" w:hAnsi="Titillium Web"/>
                <w:szCs w:val="24"/>
              </w:rPr>
            </w:pPr>
            <w:r w:rsidRPr="00041F5C">
              <w:rPr>
                <w:rFonts w:ascii="Titillium Web" w:hAnsi="Titillium Web"/>
                <w:szCs w:val="24"/>
              </w:rPr>
              <w:t>fossa con cassone ligneo</w:t>
            </w:r>
          </w:p>
        </w:tc>
      </w:tr>
      <w:tr w:rsidR="0086297F" w:rsidRPr="00041F5C" w14:paraId="47E1F943" w14:textId="77777777" w:rsidTr="002665C6">
        <w:trPr>
          <w:jc w:val="center"/>
        </w:trPr>
        <w:tc>
          <w:tcPr>
            <w:tcW w:w="1650" w:type="pct"/>
            <w:vAlign w:val="center"/>
          </w:tcPr>
          <w:p w14:paraId="355EE080"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 xml:space="preserve">Profondità dal piano di campagna </w:t>
            </w:r>
          </w:p>
        </w:tc>
        <w:tc>
          <w:tcPr>
            <w:tcW w:w="3350" w:type="pct"/>
            <w:vAlign w:val="center"/>
          </w:tcPr>
          <w:p w14:paraId="13D75B9B" w14:textId="6492371F" w:rsidR="0086297F" w:rsidRPr="00041F5C" w:rsidRDefault="0086297F" w:rsidP="002665C6">
            <w:pPr>
              <w:jc w:val="center"/>
              <w:rPr>
                <w:rFonts w:ascii="Titillium Web" w:hAnsi="Titillium Web"/>
                <w:szCs w:val="24"/>
              </w:rPr>
            </w:pPr>
            <w:r w:rsidRPr="00041F5C">
              <w:rPr>
                <w:rFonts w:ascii="Titillium Web" w:hAnsi="Titillium Web"/>
                <w:szCs w:val="24"/>
              </w:rPr>
              <w:t>1,25 m</w:t>
            </w:r>
          </w:p>
        </w:tc>
      </w:tr>
      <w:tr w:rsidR="0086297F" w:rsidRPr="00041F5C" w14:paraId="75BC79FE" w14:textId="77777777" w:rsidTr="002665C6">
        <w:trPr>
          <w:jc w:val="center"/>
        </w:trPr>
        <w:tc>
          <w:tcPr>
            <w:tcW w:w="1650" w:type="pct"/>
            <w:vAlign w:val="center"/>
          </w:tcPr>
          <w:p w14:paraId="432462C5"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Dimensioni della sepoltura</w:t>
            </w:r>
          </w:p>
        </w:tc>
        <w:tc>
          <w:tcPr>
            <w:tcW w:w="3350" w:type="pct"/>
            <w:vAlign w:val="center"/>
          </w:tcPr>
          <w:p w14:paraId="65EDFAD4" w14:textId="5859930D" w:rsidR="0086297F" w:rsidRPr="00041F5C" w:rsidRDefault="0086297F" w:rsidP="002665C6">
            <w:pPr>
              <w:jc w:val="center"/>
              <w:rPr>
                <w:rFonts w:ascii="Titillium Web" w:hAnsi="Titillium Web"/>
                <w:szCs w:val="24"/>
              </w:rPr>
            </w:pPr>
            <w:r w:rsidRPr="00041F5C">
              <w:rPr>
                <w:rFonts w:ascii="Titillium Web" w:hAnsi="Titillium Web"/>
                <w:szCs w:val="24"/>
              </w:rPr>
              <w:t>2,37x1,7</w:t>
            </w:r>
          </w:p>
        </w:tc>
      </w:tr>
      <w:tr w:rsidR="0086297F" w:rsidRPr="00041F5C" w14:paraId="35E5C09E" w14:textId="77777777" w:rsidTr="002665C6">
        <w:trPr>
          <w:jc w:val="center"/>
        </w:trPr>
        <w:tc>
          <w:tcPr>
            <w:tcW w:w="1650" w:type="pct"/>
            <w:vAlign w:val="center"/>
          </w:tcPr>
          <w:p w14:paraId="5AA10374"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Orientamento dello scheletro</w:t>
            </w:r>
          </w:p>
        </w:tc>
        <w:tc>
          <w:tcPr>
            <w:tcW w:w="3350" w:type="pct"/>
            <w:vAlign w:val="center"/>
          </w:tcPr>
          <w:p w14:paraId="6E0E4E7B" w14:textId="7F6B3E0C" w:rsidR="0086297F" w:rsidRPr="00041F5C" w:rsidRDefault="0086297F" w:rsidP="002665C6">
            <w:pPr>
              <w:jc w:val="center"/>
              <w:rPr>
                <w:rFonts w:ascii="Titillium Web" w:hAnsi="Titillium Web"/>
                <w:szCs w:val="24"/>
              </w:rPr>
            </w:pPr>
            <w:r w:rsidRPr="00041F5C">
              <w:rPr>
                <w:rFonts w:ascii="Titillium Web" w:hAnsi="Titillium Web"/>
                <w:szCs w:val="24"/>
              </w:rPr>
              <w:t>NW-SE</w:t>
            </w:r>
          </w:p>
        </w:tc>
      </w:tr>
      <w:tr w:rsidR="0086297F" w:rsidRPr="00041F5C" w14:paraId="71236441" w14:textId="77777777" w:rsidTr="002665C6">
        <w:trPr>
          <w:jc w:val="center"/>
        </w:trPr>
        <w:tc>
          <w:tcPr>
            <w:tcW w:w="1650" w:type="pct"/>
            <w:vAlign w:val="center"/>
          </w:tcPr>
          <w:p w14:paraId="4A1B31A8"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Segnacolo</w:t>
            </w:r>
          </w:p>
        </w:tc>
        <w:tc>
          <w:tcPr>
            <w:tcW w:w="3350" w:type="pct"/>
            <w:vAlign w:val="center"/>
          </w:tcPr>
          <w:p w14:paraId="104CE615" w14:textId="50385AE1" w:rsidR="0086297F" w:rsidRPr="00041F5C" w:rsidRDefault="0086297F" w:rsidP="002665C6">
            <w:pPr>
              <w:jc w:val="center"/>
              <w:rPr>
                <w:rFonts w:ascii="Titillium Web" w:hAnsi="Titillium Web"/>
                <w:szCs w:val="24"/>
              </w:rPr>
            </w:pPr>
            <w:r w:rsidRPr="00041F5C">
              <w:rPr>
                <w:rFonts w:ascii="Titillium Web" w:hAnsi="Titillium Web"/>
                <w:szCs w:val="24"/>
              </w:rPr>
              <w:t>/</w:t>
            </w:r>
          </w:p>
        </w:tc>
      </w:tr>
      <w:tr w:rsidR="0086297F" w:rsidRPr="00041F5C" w14:paraId="6D6CBA71" w14:textId="77777777" w:rsidTr="002665C6">
        <w:trPr>
          <w:jc w:val="center"/>
        </w:trPr>
        <w:tc>
          <w:tcPr>
            <w:tcW w:w="1650" w:type="pct"/>
            <w:vAlign w:val="center"/>
          </w:tcPr>
          <w:p w14:paraId="75CA0D64"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Giornale di scavo</w:t>
            </w:r>
          </w:p>
        </w:tc>
        <w:tc>
          <w:tcPr>
            <w:tcW w:w="3350" w:type="pct"/>
            <w:vAlign w:val="center"/>
          </w:tcPr>
          <w:p w14:paraId="29A4A38E" w14:textId="77777777" w:rsidR="000A0338" w:rsidRPr="00041F5C" w:rsidRDefault="00000000">
            <w:pPr>
              <w:rPr>
                <w:rFonts w:ascii="Titillium Web" w:hAnsi="Titillium Web"/>
                <w:i/>
                <w:iCs/>
                <w:szCs w:val="24"/>
              </w:rPr>
            </w:pPr>
            <w:r w:rsidRPr="00041F5C">
              <w:rPr>
                <w:rFonts w:ascii="Titillium Web" w:hAnsi="Titillium Web"/>
                <w:i/>
                <w:iCs/>
                <w:szCs w:val="24"/>
              </w:rPr>
              <w:t>Tomba 408 a umazione</w:t>
            </w:r>
          </w:p>
          <w:p w14:paraId="2C234805" w14:textId="77777777" w:rsidR="000A0338" w:rsidRPr="00041F5C" w:rsidRDefault="00000000">
            <w:pPr>
              <w:rPr>
                <w:rFonts w:ascii="Titillium Web" w:hAnsi="Titillium Web"/>
                <w:i/>
                <w:iCs/>
                <w:szCs w:val="24"/>
              </w:rPr>
            </w:pPr>
            <w:r w:rsidRPr="00041F5C">
              <w:rPr>
                <w:rFonts w:ascii="Titillium Web" w:hAnsi="Titillium Web"/>
                <w:i/>
                <w:iCs/>
                <w:szCs w:val="24"/>
              </w:rPr>
              <w:t>A m 156 dallo scolo B, a m 6,50 dal limite Sud della trincea EC e a m 1,25 di profondità (la profondità è stata presa approssimativamente, perché in questo dosso la terra è stata in diversi momenti buttata tutta sossopra) poggia una tomba a umazione.</w:t>
            </w:r>
          </w:p>
          <w:p w14:paraId="608EB298" w14:textId="77777777" w:rsidR="000A0338" w:rsidRPr="00041F5C" w:rsidRDefault="00000000">
            <w:pPr>
              <w:rPr>
                <w:rFonts w:ascii="Titillium Web" w:hAnsi="Titillium Web"/>
                <w:i/>
                <w:iCs/>
                <w:szCs w:val="24"/>
              </w:rPr>
            </w:pPr>
            <w:r w:rsidRPr="00041F5C">
              <w:rPr>
                <w:rFonts w:ascii="Titillium Web" w:hAnsi="Titillium Web"/>
                <w:i/>
                <w:iCs/>
                <w:szCs w:val="24"/>
              </w:rPr>
              <w:t>Lo scheletro e gli oggetti sono chiusi da 4 travetti di legno ed il piano è tutto coperto da tavole di legno. Causa l’acqua che sortiva e le difficoltà del terreno (sabbia che cola come l’acqua) non si è potuto eseguire una fotografia.</w:t>
            </w:r>
          </w:p>
          <w:p w14:paraId="5D6655B2" w14:textId="77777777" w:rsidR="000A0338" w:rsidRPr="00041F5C" w:rsidRDefault="00000000">
            <w:pPr>
              <w:rPr>
                <w:rFonts w:ascii="Titillium Web" w:hAnsi="Titillium Web"/>
                <w:i/>
                <w:iCs/>
                <w:szCs w:val="24"/>
              </w:rPr>
            </w:pPr>
            <w:r w:rsidRPr="00041F5C">
              <w:rPr>
                <w:rFonts w:ascii="Titillium Web" w:hAnsi="Titillium Web"/>
                <w:i/>
                <w:iCs/>
                <w:szCs w:val="24"/>
              </w:rPr>
              <w:t>La lunghezza della cassa, fra i lati lunghi è di m 1,70, fra i lati corti è di m 2,37.</w:t>
            </w:r>
          </w:p>
          <w:p w14:paraId="39F27DC2" w14:textId="77777777" w:rsidR="000A0338" w:rsidRPr="00041F5C" w:rsidRDefault="00000000">
            <w:pPr>
              <w:rPr>
                <w:rFonts w:ascii="Titillium Web" w:hAnsi="Titillium Web"/>
                <w:i/>
                <w:iCs/>
                <w:szCs w:val="24"/>
              </w:rPr>
            </w:pPr>
            <w:r w:rsidRPr="00041F5C">
              <w:rPr>
                <w:rFonts w:ascii="Titillium Web" w:hAnsi="Titillium Web"/>
                <w:i/>
                <w:iCs/>
                <w:szCs w:val="24"/>
              </w:rPr>
              <w:t>Lo scheletro è orientato da N.O. a S.E. e poggia sulla sabbia pura. Non si può giudicare né vedere i due strati, alluvionale e sabbioso, poiché il terreno è stato troppo rimescolato. Lo scheletro a sin. del cranio aveva:</w:t>
            </w:r>
          </w:p>
          <w:p w14:paraId="26CF4B21" w14:textId="77777777" w:rsidR="000A0338" w:rsidRPr="00041F5C" w:rsidRDefault="00000000">
            <w:pPr>
              <w:rPr>
                <w:rFonts w:ascii="Titillium Web" w:hAnsi="Titillium Web"/>
                <w:i/>
                <w:iCs/>
                <w:szCs w:val="24"/>
              </w:rPr>
            </w:pPr>
            <w:r w:rsidRPr="00041F5C">
              <w:rPr>
                <w:rFonts w:ascii="Titillium Web" w:hAnsi="Titillium Web"/>
                <w:i/>
                <w:iCs/>
                <w:szCs w:val="24"/>
              </w:rPr>
              <w:t>1 aryballos di pasta vitrea, intero, senza anse e a bocca circolare, con striature attorno al ventre. Sembra variegato, ma è talmente coperto da uno strato nero, il quale ha imbevuto la pasta vitrea, molto spugnosa, che non si può vedere. (alt. 0,11)</w:t>
            </w:r>
          </w:p>
          <w:p w14:paraId="7981E7AF" w14:textId="77777777" w:rsidR="000A0338" w:rsidRPr="00041F5C" w:rsidRDefault="00000000">
            <w:pPr>
              <w:rPr>
                <w:rFonts w:ascii="Titillium Web" w:hAnsi="Titillium Web"/>
                <w:i/>
                <w:iCs/>
                <w:szCs w:val="24"/>
              </w:rPr>
            </w:pPr>
            <w:r w:rsidRPr="00041F5C">
              <w:rPr>
                <w:rFonts w:ascii="Titillium Web" w:hAnsi="Titillium Web"/>
                <w:i/>
                <w:iCs/>
                <w:szCs w:val="24"/>
              </w:rPr>
              <w:t>A destra presso la spalla:</w:t>
            </w:r>
          </w:p>
          <w:p w14:paraId="07A21558" w14:textId="77777777" w:rsidR="000A0338" w:rsidRPr="00041F5C" w:rsidRDefault="00000000">
            <w:pPr>
              <w:rPr>
                <w:rFonts w:ascii="Titillium Web" w:hAnsi="Titillium Web"/>
                <w:i/>
                <w:iCs/>
                <w:szCs w:val="24"/>
              </w:rPr>
            </w:pPr>
            <w:r w:rsidRPr="00041F5C">
              <w:rPr>
                <w:rFonts w:ascii="Titillium Web" w:hAnsi="Titillium Web"/>
                <w:i/>
                <w:iCs/>
                <w:szCs w:val="24"/>
              </w:rPr>
              <w:t>1 lekane poderosa di argilla giallo - chiara di fattura tozza, decorata nel coperchio da figure che girano tutto all’intorno. (Scena di gineceo [...]) Le figure ottenute in chiaro, color dell’argilla, su fondo bruno - scuro; disegno strapazzato.</w:t>
            </w:r>
          </w:p>
          <w:p w14:paraId="701992AE" w14:textId="77777777" w:rsidR="000A0338" w:rsidRPr="00041F5C" w:rsidRDefault="00000000">
            <w:pPr>
              <w:rPr>
                <w:rFonts w:ascii="Titillium Web" w:hAnsi="Titillium Web"/>
                <w:i/>
                <w:iCs/>
                <w:szCs w:val="24"/>
              </w:rPr>
            </w:pPr>
            <w:r w:rsidRPr="00041F5C">
              <w:rPr>
                <w:rFonts w:ascii="Titillium Web" w:hAnsi="Titillium Web"/>
                <w:i/>
                <w:iCs/>
                <w:szCs w:val="24"/>
              </w:rPr>
              <w:lastRenderedPageBreak/>
              <w:t>È frammentato il coperchio ma restaurabile. La tazza all’esterno, presso l’orlo porta disegni geometrici; da un lato una fascia di palmette e dall’altra parte un corrimi dietro, disegnati con cura.</w:t>
            </w:r>
          </w:p>
          <w:p w14:paraId="201D0284" w14:textId="77777777" w:rsidR="000A0338" w:rsidRPr="00041F5C" w:rsidRDefault="00000000">
            <w:pPr>
              <w:rPr>
                <w:rFonts w:ascii="Titillium Web" w:hAnsi="Titillium Web"/>
                <w:i/>
                <w:iCs/>
                <w:szCs w:val="24"/>
              </w:rPr>
            </w:pPr>
            <w:r w:rsidRPr="00041F5C">
              <w:rPr>
                <w:rFonts w:ascii="Titillium Web" w:hAnsi="Titillium Web"/>
                <w:i/>
                <w:iCs/>
                <w:szCs w:val="24"/>
              </w:rPr>
              <w:t>Lungo il fianco destro erano:</w:t>
            </w:r>
          </w:p>
          <w:p w14:paraId="13F64B9C" w14:textId="77777777" w:rsidR="000A0338" w:rsidRPr="00041F5C" w:rsidRDefault="00000000">
            <w:pPr>
              <w:rPr>
                <w:rFonts w:ascii="Titillium Web" w:hAnsi="Titillium Web"/>
                <w:i/>
                <w:iCs/>
                <w:szCs w:val="24"/>
              </w:rPr>
            </w:pPr>
            <w:r w:rsidRPr="00041F5C">
              <w:rPr>
                <w:rFonts w:ascii="Titillium Web" w:hAnsi="Titillium Web"/>
                <w:i/>
                <w:iCs/>
                <w:szCs w:val="24"/>
              </w:rPr>
              <w:t>1 grande oinocoe a forma di fiasco, con bocca trilobata e disegni di palmette e testone, rozzamente disegnati con tinta bruno-scura. È framm.to; Alto 0,335.</w:t>
            </w:r>
          </w:p>
          <w:p w14:paraId="6ABF685A" w14:textId="77777777" w:rsidR="000A0338" w:rsidRPr="00041F5C" w:rsidRDefault="00000000">
            <w:pPr>
              <w:rPr>
                <w:rFonts w:ascii="Titillium Web" w:hAnsi="Titillium Web"/>
                <w:i/>
                <w:iCs/>
                <w:szCs w:val="24"/>
              </w:rPr>
            </w:pPr>
            <w:r w:rsidRPr="00041F5C">
              <w:rPr>
                <w:rFonts w:ascii="Titillium Web" w:hAnsi="Titillium Web"/>
                <w:i/>
                <w:iCs/>
                <w:szCs w:val="24"/>
              </w:rPr>
              <w:t>1 Lucerna (gutthus) in frammenti; a forma tonda e schiacciata, con ansa orizzontale. Ha tracce di disegno a tinta bruno-scura.</w:t>
            </w:r>
          </w:p>
          <w:p w14:paraId="4C1325E0" w14:textId="77777777" w:rsidR="000A0338" w:rsidRPr="00041F5C" w:rsidRDefault="00000000">
            <w:pPr>
              <w:rPr>
                <w:rFonts w:ascii="Titillium Web" w:hAnsi="Titillium Web"/>
                <w:i/>
                <w:iCs/>
                <w:szCs w:val="24"/>
              </w:rPr>
            </w:pPr>
            <w:r w:rsidRPr="00041F5C">
              <w:rPr>
                <w:rFonts w:ascii="Titillium Web" w:hAnsi="Titillium Web"/>
                <w:i/>
                <w:iCs/>
                <w:szCs w:val="24"/>
              </w:rPr>
              <w:t>1 grande skyfos a vern. nera con anitra dipinta in rosso sopra la vernice nera, è in frammenti</w:t>
            </w:r>
          </w:p>
          <w:p w14:paraId="15A0F2C5" w14:textId="77777777" w:rsidR="000A0338" w:rsidRPr="00041F5C" w:rsidRDefault="00000000">
            <w:pPr>
              <w:rPr>
                <w:rFonts w:ascii="Titillium Web" w:hAnsi="Titillium Web"/>
                <w:i/>
                <w:iCs/>
                <w:szCs w:val="24"/>
              </w:rPr>
            </w:pPr>
            <w:r w:rsidRPr="00041F5C">
              <w:rPr>
                <w:rFonts w:ascii="Titillium Web" w:hAnsi="Titillium Web"/>
                <w:i/>
                <w:iCs/>
                <w:szCs w:val="24"/>
              </w:rPr>
              <w:t>1 ocarella di argilla giallognola, grezza, massiccia, male fatta, con zoccoletto quadrangolare, con due fori che combinano con due fori nel ventre dell’ocarella, nei quali dovevano essere due perni che permettevano di mantenere ferma nello zoccolo l’ocarella.</w:t>
            </w:r>
          </w:p>
          <w:p w14:paraId="5A8E34B9" w14:textId="77777777" w:rsidR="000A0338" w:rsidRPr="00041F5C" w:rsidRDefault="00000000">
            <w:pPr>
              <w:rPr>
                <w:rFonts w:ascii="Titillium Web" w:hAnsi="Titillium Web"/>
                <w:i/>
                <w:iCs/>
                <w:szCs w:val="24"/>
              </w:rPr>
            </w:pPr>
            <w:r w:rsidRPr="00041F5C">
              <w:rPr>
                <w:rFonts w:ascii="Titillium Web" w:hAnsi="Titillium Web"/>
                <w:i/>
                <w:iCs/>
                <w:szCs w:val="24"/>
              </w:rPr>
              <w:t>(Ha la testa staccata dal corpo)</w:t>
            </w:r>
          </w:p>
          <w:p w14:paraId="1C899026" w14:textId="77777777" w:rsidR="000A0338" w:rsidRPr="00041F5C" w:rsidRDefault="00000000">
            <w:pPr>
              <w:rPr>
                <w:rFonts w:ascii="Titillium Web" w:hAnsi="Titillium Web"/>
                <w:i/>
                <w:iCs/>
                <w:szCs w:val="24"/>
              </w:rPr>
            </w:pPr>
            <w:r w:rsidRPr="00041F5C">
              <w:rPr>
                <w:rFonts w:ascii="Titillium Web" w:hAnsi="Titillium Web"/>
                <w:i/>
                <w:iCs/>
                <w:szCs w:val="24"/>
              </w:rPr>
              <w:t>1 frammento di ferro, nel quale sembra di ravvisare la parte superiore di un candelabro (?)</w:t>
            </w:r>
          </w:p>
          <w:p w14:paraId="646BCDB5" w14:textId="77777777" w:rsidR="000A0338" w:rsidRPr="00041F5C" w:rsidRDefault="00000000">
            <w:pPr>
              <w:rPr>
                <w:rFonts w:ascii="Titillium Web" w:hAnsi="Titillium Web"/>
                <w:i/>
                <w:iCs/>
                <w:szCs w:val="24"/>
              </w:rPr>
            </w:pPr>
            <w:r w:rsidRPr="00041F5C">
              <w:rPr>
                <w:rFonts w:ascii="Titillium Web" w:hAnsi="Titillium Web"/>
                <w:i/>
                <w:iCs/>
                <w:szCs w:val="24"/>
              </w:rPr>
              <w:t>1 scodella intera a vern. nera, con striature nel centro.</w:t>
            </w:r>
          </w:p>
          <w:p w14:paraId="16BF72AC" w14:textId="77777777" w:rsidR="000A0338" w:rsidRPr="00041F5C" w:rsidRDefault="00000000">
            <w:pPr>
              <w:rPr>
                <w:rFonts w:ascii="Titillium Web" w:hAnsi="Titillium Web"/>
                <w:i/>
                <w:iCs/>
                <w:szCs w:val="24"/>
              </w:rPr>
            </w:pPr>
            <w:r w:rsidRPr="00041F5C">
              <w:rPr>
                <w:rFonts w:ascii="Titillium Web" w:hAnsi="Titillium Web"/>
                <w:i/>
                <w:iCs/>
                <w:szCs w:val="24"/>
              </w:rPr>
              <w:t>Furono pescati nel fango una quantità di cocci a vernice nera scadente, di tazzette, piattelli (nei quali erano gusci d’uovo) e di oinochoi a bocca trilobata di fattura grossolana.</w:t>
            </w:r>
          </w:p>
          <w:p w14:paraId="499EE2C3" w14:textId="77777777" w:rsidR="000A0338" w:rsidRPr="00041F5C" w:rsidRDefault="00000000">
            <w:pPr>
              <w:rPr>
                <w:rFonts w:ascii="Titillium Web" w:hAnsi="Titillium Web"/>
                <w:i/>
                <w:iCs/>
                <w:szCs w:val="24"/>
              </w:rPr>
            </w:pPr>
            <w:r w:rsidRPr="00041F5C">
              <w:rPr>
                <w:rFonts w:ascii="Titillium Web" w:hAnsi="Titillium Web"/>
                <w:i/>
                <w:iCs/>
                <w:szCs w:val="24"/>
              </w:rPr>
              <w:t>(erano i frammenti mancanti nella Tomba 409 poiché per errore gli operai misero parte dei cocci della una, nell’altra tomba)</w:t>
            </w:r>
          </w:p>
        </w:tc>
      </w:tr>
      <w:tr w:rsidR="0086297F" w:rsidRPr="00041F5C" w14:paraId="1429C2F3" w14:textId="77777777" w:rsidTr="002665C6">
        <w:trPr>
          <w:jc w:val="center"/>
        </w:trPr>
        <w:tc>
          <w:tcPr>
            <w:tcW w:w="1650" w:type="pct"/>
            <w:vAlign w:val="center"/>
          </w:tcPr>
          <w:p w14:paraId="7F398080"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lastRenderedPageBreak/>
              <w:t>Posizione del corredo</w:t>
            </w:r>
          </w:p>
        </w:tc>
        <w:tc>
          <w:tcPr>
            <w:tcW w:w="3350" w:type="pct"/>
            <w:vAlign w:val="center"/>
          </w:tcPr>
          <w:p w14:paraId="5C03ADA7" w14:textId="3CFC90A2" w:rsidR="0086297F" w:rsidRPr="00041F5C" w:rsidRDefault="000867EE" w:rsidP="002665C6">
            <w:pPr>
              <w:jc w:val="center"/>
              <w:rPr>
                <w:rFonts w:ascii="Titillium Web" w:hAnsi="Titillium Web"/>
                <w:szCs w:val="24"/>
              </w:rPr>
            </w:pPr>
            <w:r w:rsidRPr="000867EE">
              <w:rPr>
                <w:rFonts w:ascii="Titillium Web" w:hAnsi="Titillium Web"/>
                <w:szCs w:val="24"/>
              </w:rPr>
              <w:t>In gruppo/i attorno ai resti</w:t>
            </w:r>
          </w:p>
        </w:tc>
      </w:tr>
      <w:tr w:rsidR="0086297F" w:rsidRPr="00041F5C" w14:paraId="71A0E4AF" w14:textId="77777777" w:rsidTr="002665C6">
        <w:trPr>
          <w:jc w:val="center"/>
        </w:trPr>
        <w:tc>
          <w:tcPr>
            <w:tcW w:w="1650" w:type="pct"/>
            <w:vAlign w:val="center"/>
          </w:tcPr>
          <w:p w14:paraId="2128B19B"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Genere (legato all’analisi del corredo)</w:t>
            </w:r>
          </w:p>
        </w:tc>
        <w:tc>
          <w:tcPr>
            <w:tcW w:w="3350" w:type="pct"/>
            <w:vAlign w:val="center"/>
          </w:tcPr>
          <w:p w14:paraId="31324C2B" w14:textId="4E55E405" w:rsidR="0086297F" w:rsidRPr="00041F5C" w:rsidRDefault="0086297F" w:rsidP="002665C6">
            <w:pPr>
              <w:jc w:val="center"/>
              <w:rPr>
                <w:rFonts w:ascii="Titillium Web" w:hAnsi="Titillium Web"/>
                <w:szCs w:val="24"/>
              </w:rPr>
            </w:pPr>
            <w:r w:rsidRPr="00041F5C">
              <w:rPr>
                <w:rFonts w:ascii="Titillium Web" w:hAnsi="Titillium Web"/>
                <w:szCs w:val="24"/>
              </w:rPr>
              <w:t>Femminile ?</w:t>
            </w:r>
          </w:p>
        </w:tc>
      </w:tr>
      <w:tr w:rsidR="0086297F" w:rsidRPr="00041F5C" w14:paraId="17633947" w14:textId="77777777" w:rsidTr="002665C6">
        <w:trPr>
          <w:jc w:val="center"/>
        </w:trPr>
        <w:tc>
          <w:tcPr>
            <w:tcW w:w="1650" w:type="pct"/>
            <w:vAlign w:val="center"/>
          </w:tcPr>
          <w:p w14:paraId="44721053"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Sesso (legato alle analisi antropologiche)</w:t>
            </w:r>
          </w:p>
        </w:tc>
        <w:tc>
          <w:tcPr>
            <w:tcW w:w="3350" w:type="pct"/>
            <w:vAlign w:val="center"/>
          </w:tcPr>
          <w:p w14:paraId="66E918A4" w14:textId="50197FF0" w:rsidR="0086297F" w:rsidRPr="00041F5C" w:rsidRDefault="0086297F" w:rsidP="002665C6">
            <w:pPr>
              <w:jc w:val="center"/>
              <w:rPr>
                <w:rFonts w:ascii="Titillium Web" w:hAnsi="Titillium Web"/>
                <w:szCs w:val="24"/>
              </w:rPr>
            </w:pPr>
            <w:r w:rsidRPr="00041F5C">
              <w:rPr>
                <w:rFonts w:ascii="Titillium Web" w:hAnsi="Titillium Web"/>
                <w:szCs w:val="24"/>
              </w:rPr>
              <w:t>Non determinabile</w:t>
            </w:r>
          </w:p>
        </w:tc>
      </w:tr>
      <w:tr w:rsidR="0086297F" w:rsidRPr="00041F5C" w14:paraId="0588946D" w14:textId="77777777" w:rsidTr="002665C6">
        <w:trPr>
          <w:jc w:val="center"/>
        </w:trPr>
        <w:tc>
          <w:tcPr>
            <w:tcW w:w="1650" w:type="pct"/>
            <w:vAlign w:val="center"/>
          </w:tcPr>
          <w:p w14:paraId="54990945"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Classi di età</w:t>
            </w:r>
          </w:p>
        </w:tc>
        <w:tc>
          <w:tcPr>
            <w:tcW w:w="3350" w:type="pct"/>
            <w:vAlign w:val="center"/>
          </w:tcPr>
          <w:p w14:paraId="0E0589EA" w14:textId="7D4DF825" w:rsidR="0086297F" w:rsidRPr="00041F5C" w:rsidRDefault="0086297F" w:rsidP="002665C6">
            <w:pPr>
              <w:jc w:val="center"/>
              <w:rPr>
                <w:rFonts w:ascii="Titillium Web" w:hAnsi="Titillium Web"/>
                <w:szCs w:val="24"/>
              </w:rPr>
            </w:pPr>
            <w:r w:rsidRPr="00041F5C">
              <w:rPr>
                <w:rFonts w:ascii="Titillium Web" w:hAnsi="Titillium Web"/>
                <w:szCs w:val="24"/>
              </w:rPr>
              <w:t>Non determinabile</w:t>
            </w:r>
          </w:p>
        </w:tc>
      </w:tr>
      <w:tr w:rsidR="0086297F" w:rsidRPr="00041F5C" w14:paraId="1FFA88A1" w14:textId="77777777" w:rsidTr="002665C6">
        <w:trPr>
          <w:jc w:val="center"/>
        </w:trPr>
        <w:tc>
          <w:tcPr>
            <w:tcW w:w="1650" w:type="pct"/>
            <w:vAlign w:val="center"/>
          </w:tcPr>
          <w:p w14:paraId="63B2D8D6" w14:textId="77777777" w:rsidR="0086297F" w:rsidRPr="00041F5C" w:rsidRDefault="0086297F" w:rsidP="002665C6">
            <w:pPr>
              <w:jc w:val="center"/>
              <w:rPr>
                <w:rFonts w:ascii="Titillium Web" w:hAnsi="Titillium Web"/>
                <w:smallCaps/>
                <w:szCs w:val="24"/>
              </w:rPr>
            </w:pPr>
            <w:r w:rsidRPr="00041F5C">
              <w:rPr>
                <w:rFonts w:ascii="Titillium Web" w:hAnsi="Titillium Web"/>
                <w:smallCaps/>
                <w:szCs w:val="24"/>
              </w:rPr>
              <w:t>Bibliografia essenziale</w:t>
            </w:r>
          </w:p>
        </w:tc>
        <w:tc>
          <w:tcPr>
            <w:tcW w:w="3350" w:type="pct"/>
            <w:vAlign w:val="center"/>
          </w:tcPr>
          <w:p w14:paraId="6F6E281B" w14:textId="77777777" w:rsidR="000A0338" w:rsidRPr="00041F5C" w:rsidRDefault="00000000" w:rsidP="006427D9">
            <w:pPr>
              <w:jc w:val="center"/>
              <w:rPr>
                <w:rFonts w:ascii="Titillium Web" w:hAnsi="Titillium Web"/>
                <w:szCs w:val="24"/>
              </w:rPr>
            </w:pPr>
            <w:r w:rsidRPr="006427D9">
              <w:rPr>
                <w:rFonts w:ascii="Titillium Web" w:eastAsia="Titillium" w:hAnsi="Titillium Web" w:cs="Titillium"/>
                <w:smallCaps/>
                <w:szCs w:val="24"/>
              </w:rPr>
              <w:t>Negrioli</w:t>
            </w:r>
            <w:r w:rsidRPr="00041F5C">
              <w:rPr>
                <w:rFonts w:ascii="Titillium Web" w:eastAsia="Titillium" w:hAnsi="Titillium Web" w:cs="Titillium"/>
                <w:szCs w:val="24"/>
              </w:rPr>
              <w:t xml:space="preserve"> 1927, p. 145; </w:t>
            </w:r>
            <w:r w:rsidRPr="006427D9">
              <w:rPr>
                <w:rFonts w:ascii="Titillium Web" w:eastAsia="Titillium" w:hAnsi="Titillium Web" w:cs="Titillium"/>
                <w:smallCaps/>
                <w:szCs w:val="24"/>
              </w:rPr>
              <w:t>Desantis</w:t>
            </w:r>
            <w:r w:rsidRPr="00041F5C">
              <w:rPr>
                <w:rFonts w:ascii="Titillium Web" w:eastAsia="Titillium" w:hAnsi="Titillium Web" w:cs="Titillium"/>
                <w:szCs w:val="24"/>
              </w:rPr>
              <w:t xml:space="preserve"> 1993b, pp. 308, 312-313; </w:t>
            </w:r>
            <w:r w:rsidRPr="006427D9">
              <w:rPr>
                <w:rFonts w:ascii="Titillium Web" w:eastAsia="Titillium" w:hAnsi="Titillium Web" w:cs="Titillium"/>
                <w:smallCaps/>
                <w:szCs w:val="24"/>
              </w:rPr>
              <w:t>Timossi</w:t>
            </w:r>
            <w:r w:rsidRPr="00041F5C">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1F5C"/>
    <w:rsid w:val="00042C80"/>
    <w:rsid w:val="000867EE"/>
    <w:rsid w:val="000A0338"/>
    <w:rsid w:val="000D72F4"/>
    <w:rsid w:val="001C17CC"/>
    <w:rsid w:val="002977D7"/>
    <w:rsid w:val="00472AF4"/>
    <w:rsid w:val="00551AF8"/>
    <w:rsid w:val="005B5AFF"/>
    <w:rsid w:val="006162A4"/>
    <w:rsid w:val="006346F7"/>
    <w:rsid w:val="006427D9"/>
    <w:rsid w:val="006D6EFB"/>
    <w:rsid w:val="007145BC"/>
    <w:rsid w:val="0086297F"/>
    <w:rsid w:val="009E4922"/>
    <w:rsid w:val="00A54B2A"/>
    <w:rsid w:val="00AB321D"/>
    <w:rsid w:val="00B12E8E"/>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10</cp:revision>
  <dcterms:created xsi:type="dcterms:W3CDTF">2026-04-30T12:42:00Z</dcterms:created>
  <dcterms:modified xsi:type="dcterms:W3CDTF">2026-05-15T10:50:00Z</dcterms:modified>
</cp:coreProperties>
</file>