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017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3017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017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3017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fossa con cassone ligneo bipartito</w:t>
            </w:r>
          </w:p>
        </w:tc>
      </w:tr>
      <w:tr w:rsidR="0086297F" w:rsidRPr="00F3017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F3017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2,35x1,7</w:t>
            </w:r>
          </w:p>
        </w:tc>
      </w:tr>
      <w:tr w:rsidR="0086297F" w:rsidRPr="00F3017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3017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017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DDFB23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Tomba 410 umata</w:t>
            </w:r>
          </w:p>
          <w:p w14:paraId="22F81774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A m 156 dallo scolo B, a m 8,60 a S del limite nord della trincea, a m 1,45 di prof.tà (misura relativa poiché il piano di campagna è tutto sconvolto) poggiava una tomba a umazione. Lo scheletro e gli oggetti sono racchiusi entro una cassa? di travi di legno con un travetto divisorio fra lo scheletro e i vasi. I travi sono sottili e profondi, posti in taglio per formare la cassa. I lati più lunghi di questa cassa misurano m 2,35; e i corti m 1,70. L’acqua abbondante, causa le recenti piogge, pullula dal sot</w:t>
            </w:r>
            <w:r w:rsidRPr="00F3017E">
              <w:rPr>
                <w:rFonts w:ascii="Titillium Web" w:hAnsi="Titillium Web"/>
                <w:i/>
                <w:iCs/>
                <w:szCs w:val="24"/>
              </w:rPr>
              <w:t>tosuolo e dalle pareti dello scavo, in maniera allarmante. Lo scheletro è orientato da N.O. a S.E. È completamente marcito e presso di sé non ha alcun oggetto.</w:t>
            </w:r>
          </w:p>
          <w:p w14:paraId="22A87749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A destra dello scheletro, divisi da un travetto, erano:</w:t>
            </w:r>
          </w:p>
          <w:p w14:paraId="33F50390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1 grande skyfos a vern. nera a piede stretto, leggermente frammentato presso l’orlo</w:t>
            </w:r>
          </w:p>
          <w:p w14:paraId="59966F32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2 oinochoai a forma di fiasco, con bocca trilobata, a vern. n. uno intero e uno in frammenti</w:t>
            </w:r>
          </w:p>
          <w:p w14:paraId="7B34C0BB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1 grande piatto a piede alto, a vern. n. scadente, di fattura grossolana, il quale copriva lo skyfos (è leggermente frammentato). Nel rovescio sono graffite le seguenti lettere: [ndr vedi immagine]</w:t>
            </w:r>
          </w:p>
          <w:p w14:paraId="31D2B188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1 grande ciotola a vern. nera, intera, liscia</w:t>
            </w:r>
          </w:p>
          <w:p w14:paraId="7AF181F3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3017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3017E">
              <w:rPr>
                <w:rFonts w:ascii="Titillium Web" w:hAnsi="Titillium Web"/>
                <w:i/>
                <w:iCs/>
                <w:szCs w:val="24"/>
              </w:rPr>
              <w:t xml:space="preserve"> tazzette a vern. nera, liscie (una frammentata)</w:t>
            </w:r>
          </w:p>
          <w:p w14:paraId="1E13356D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3017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F3017E">
              <w:rPr>
                <w:rFonts w:ascii="Titillium Web" w:hAnsi="Titillium Web"/>
                <w:i/>
                <w:iCs/>
                <w:szCs w:val="24"/>
              </w:rPr>
              <w:t xml:space="preserve"> piattelli a vern. nera con pieduccio</w:t>
            </w:r>
          </w:p>
          <w:p w14:paraId="61F54AAC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1 scodellina con pieduccio, a vern. nera scadente</w:t>
            </w:r>
          </w:p>
          <w:p w14:paraId="1A3E8B8B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lastRenderedPageBreak/>
              <w:t>1 frammento informe di ferro</w:t>
            </w:r>
          </w:p>
          <w:p w14:paraId="6C7C0BEA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All’Ing. Silloni consegnato un frammento del legno che Boccaccini dice essere ebano.</w:t>
            </w:r>
          </w:p>
          <w:p w14:paraId="6DE20797" w14:textId="77777777" w:rsidR="0086505C" w:rsidRPr="00F3017E" w:rsidRDefault="003A4D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017E">
              <w:rPr>
                <w:rFonts w:ascii="Titillium Web" w:hAnsi="Titillium Web"/>
                <w:i/>
                <w:iCs/>
                <w:szCs w:val="24"/>
              </w:rPr>
              <w:t>Altro frammento è fra i vasi della tomba.</w:t>
            </w:r>
          </w:p>
        </w:tc>
      </w:tr>
      <w:tr w:rsidR="0086297F" w:rsidRPr="00F3017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3017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017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017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017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017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3017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017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4A282A" w14:textId="77777777" w:rsidR="0086505C" w:rsidRPr="00F3017E" w:rsidRDefault="003A4D14" w:rsidP="00F3017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017E">
              <w:rPr>
                <w:rFonts w:ascii="Titillium Web" w:eastAsia="Titillium" w:hAnsi="Titillium Web" w:cs="Titillium"/>
                <w:smallCaps/>
                <w:szCs w:val="24"/>
              </w:rPr>
              <w:t>Pozzi 2011; Timossi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0CBF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6505C"/>
    <w:rsid w:val="009E4922"/>
    <w:rsid w:val="00AB321D"/>
    <w:rsid w:val="00B165C4"/>
    <w:rsid w:val="00C21EE0"/>
    <w:rsid w:val="00D900AB"/>
    <w:rsid w:val="00D936E8"/>
    <w:rsid w:val="00E24633"/>
    <w:rsid w:val="00F3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2026-05-15T08:43:00Z</dcterms:modified>
</cp:coreProperties>
</file>