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427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DA7E09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DA7E0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A7E09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DA7E0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A7E09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DA7E09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DA7E0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A7E09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DA7E0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A7E09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DA7E09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DA7E0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A7E09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DA7E0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A7E09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DA7E09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DA7E0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A7E09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DA7E0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A7E09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DA7E09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DA7E0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A7E09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DA7E0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A7E09">
              <w:rPr>
                <w:rFonts w:ascii="Titillium Web" w:hAnsi="Titillium Web"/>
                <w:szCs w:val="24"/>
              </w:rPr>
              <w:t>1,05 m</w:t>
            </w:r>
          </w:p>
        </w:tc>
      </w:tr>
      <w:tr w:rsidR="0086297F" w:rsidRPr="00DA7E09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DA7E0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A7E09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DA7E0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A7E09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DA7E09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DA7E0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A7E09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DA7E0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A7E09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DA7E09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DA7E0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A7E09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DA7E0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A7E09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DA7E09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DA7E0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A7E09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6E62B03" w14:textId="77777777" w:rsidR="00F07DA1" w:rsidRPr="00DA7E09" w:rsidRDefault="00BC7D7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A7E09">
              <w:rPr>
                <w:rFonts w:ascii="Titillium Web" w:hAnsi="Titillium Web"/>
                <w:i/>
                <w:iCs/>
                <w:szCs w:val="24"/>
              </w:rPr>
              <w:t>T. 427 a cremazione</w:t>
            </w:r>
          </w:p>
          <w:p w14:paraId="570CEABB" w14:textId="77777777" w:rsidR="00F07DA1" w:rsidRPr="00DA7E09" w:rsidRDefault="00BC7D7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A7E09">
              <w:rPr>
                <w:rFonts w:ascii="Titillium Web" w:hAnsi="Titillium Web"/>
                <w:i/>
                <w:iCs/>
                <w:szCs w:val="24"/>
              </w:rPr>
              <w:t>A m 17,85 dallo scolo B, a m 2,55 a sud della linea del vecchio scavo e a m 1,05 di profondità</w:t>
            </w:r>
          </w:p>
          <w:p w14:paraId="2595DD34" w14:textId="77777777" w:rsidR="00F07DA1" w:rsidRPr="00DA7E09" w:rsidRDefault="00BC7D7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A7E09">
              <w:rPr>
                <w:rFonts w:ascii="Titillium Web" w:hAnsi="Titillium Web"/>
                <w:i/>
                <w:iCs/>
                <w:szCs w:val="24"/>
              </w:rPr>
              <w:t>poggiava:</w:t>
            </w:r>
          </w:p>
          <w:p w14:paraId="0153E27F" w14:textId="77777777" w:rsidR="00F07DA1" w:rsidRPr="00DA7E09" w:rsidRDefault="00BC7D7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A7E09">
              <w:rPr>
                <w:rFonts w:ascii="Titillium Web" w:hAnsi="Titillium Web"/>
                <w:i/>
                <w:iCs/>
                <w:szCs w:val="24"/>
              </w:rPr>
              <w:t>1 dolietto di forma ovoidale di argilla rossiccia, ben cotto, grezzo, crinato dall’alto al basso, il quale conteneva poche ossa combuste.</w:t>
            </w:r>
          </w:p>
          <w:p w14:paraId="0A24C402" w14:textId="77777777" w:rsidR="00F07DA1" w:rsidRPr="00DA7E09" w:rsidRDefault="00BC7D7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A7E09">
              <w:rPr>
                <w:rFonts w:ascii="Titillium Web" w:hAnsi="Titillium Web"/>
                <w:i/>
                <w:iCs/>
                <w:szCs w:val="24"/>
              </w:rPr>
              <w:t>Il dolietto era coperto da qualche frammento di un piatto grosso di terra cenerognola.</w:t>
            </w:r>
          </w:p>
          <w:p w14:paraId="3F80381A" w14:textId="77777777" w:rsidR="00F07DA1" w:rsidRPr="00DA7E09" w:rsidRDefault="00BC7D7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A7E09">
              <w:rPr>
                <w:rFonts w:ascii="Titillium Web" w:hAnsi="Titillium Web"/>
                <w:i/>
                <w:iCs/>
                <w:szCs w:val="24"/>
              </w:rPr>
              <w:t>È alto 0,38</w:t>
            </w:r>
          </w:p>
        </w:tc>
      </w:tr>
      <w:tr w:rsidR="0086297F" w:rsidRPr="00DA7E09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DA7E0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A7E09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DA7E0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A7E09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DA7E09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DA7E0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A7E09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DA7E0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A7E0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A7E09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DA7E0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A7E09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DA7E0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A7E0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A7E09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DA7E0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A7E09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DA7E0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A7E0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A7E09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DA7E0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A7E09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4F50557" w14:textId="77777777" w:rsidR="00F07DA1" w:rsidRPr="00DA7E09" w:rsidRDefault="00BC7D73" w:rsidP="00DA7E09">
            <w:pPr>
              <w:jc w:val="center"/>
              <w:rPr>
                <w:rFonts w:ascii="Titillium Web" w:hAnsi="Titillium Web"/>
                <w:szCs w:val="24"/>
              </w:rPr>
            </w:pPr>
            <w:r w:rsidRPr="00DA7E09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DA7E09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A48AF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DA7E09"/>
    <w:rsid w:val="00E24633"/>
    <w:rsid w:val="00F07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138</Words>
  <Characters>792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2026-05-15T08:32:00Z</dcterms:modified>
</cp:coreProperties>
</file>