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069E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4069E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069E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069E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069E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4069E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069E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069E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069E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74120E6" w14:textId="77777777" w:rsidR="007D62E6" w:rsidRPr="004069EF" w:rsidRDefault="001410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9EF">
              <w:rPr>
                <w:rFonts w:ascii="Titillium Web" w:hAnsi="Titillium Web"/>
                <w:i/>
                <w:iCs/>
                <w:szCs w:val="24"/>
              </w:rPr>
              <w:t>T. 428 a cremazione</w:t>
            </w:r>
          </w:p>
          <w:p w14:paraId="48980C25" w14:textId="77777777" w:rsidR="007D62E6" w:rsidRPr="004069EF" w:rsidRDefault="001410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9EF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  <w:p w14:paraId="0C16B333" w14:textId="77777777" w:rsidR="007D62E6" w:rsidRPr="004069EF" w:rsidRDefault="001410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9EF">
              <w:rPr>
                <w:rFonts w:ascii="Titillium Web" w:hAnsi="Titillium Web"/>
                <w:i/>
                <w:iCs/>
                <w:szCs w:val="24"/>
              </w:rPr>
              <w:t>A m 42,50 dallo scolo B, a m 1,85 a Nord della linea del vecchio scavo (nella primavera viene</w:t>
            </w:r>
          </w:p>
          <w:p w14:paraId="5DE55124" w14:textId="77777777" w:rsidR="007D62E6" w:rsidRPr="004069EF" w:rsidRDefault="001410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9EF">
              <w:rPr>
                <w:rFonts w:ascii="Titillium Web" w:hAnsi="Titillium Web"/>
                <w:i/>
                <w:iCs/>
                <w:szCs w:val="24"/>
              </w:rPr>
              <w:t>lasciato di scavare una porzione di terreno a levante del dosso – vedi piantina dello scavo della primavera giugno-luglio 1925) e a m 0,85 di profondità poggiava</w:t>
            </w:r>
          </w:p>
          <w:p w14:paraId="4166B2F6" w14:textId="77777777" w:rsidR="007D62E6" w:rsidRPr="004069EF" w:rsidRDefault="001410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9EF">
              <w:rPr>
                <w:rFonts w:ascii="Titillium Web" w:hAnsi="Titillium Web"/>
                <w:i/>
                <w:iCs/>
                <w:szCs w:val="24"/>
              </w:rPr>
              <w:t>1 dolietto di forma ovoidale, di argilla rossa, in minuti frammenti il quale conteneva poche</w:t>
            </w:r>
          </w:p>
          <w:p w14:paraId="1BEC5BE4" w14:textId="77777777" w:rsidR="007D62E6" w:rsidRPr="004069EF" w:rsidRDefault="001410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9EF">
              <w:rPr>
                <w:rFonts w:ascii="Titillium Web" w:hAnsi="Titillium Web"/>
                <w:i/>
                <w:iCs/>
                <w:szCs w:val="24"/>
              </w:rPr>
              <w:t>ossa combuste.</w:t>
            </w:r>
          </w:p>
          <w:p w14:paraId="558DE91B" w14:textId="77777777" w:rsidR="007D62E6" w:rsidRPr="004069EF" w:rsidRDefault="001410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9EF">
              <w:rPr>
                <w:rFonts w:ascii="Titillium Web" w:hAnsi="Titillium Web"/>
                <w:i/>
                <w:iCs/>
                <w:szCs w:val="24"/>
              </w:rPr>
              <w:t>Non si raccolse</w:t>
            </w:r>
          </w:p>
        </w:tc>
      </w:tr>
      <w:tr w:rsidR="0086297F" w:rsidRPr="004069E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069E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69E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69E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069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69E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069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69E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034A240" w14:textId="77777777" w:rsidR="007D62E6" w:rsidRPr="004069EF" w:rsidRDefault="001410E7" w:rsidP="004069EF">
            <w:pPr>
              <w:jc w:val="center"/>
              <w:rPr>
                <w:rFonts w:ascii="Titillium Web" w:hAnsi="Titillium Web"/>
                <w:szCs w:val="24"/>
              </w:rPr>
            </w:pPr>
            <w:r w:rsidRPr="004069E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069EF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069EF"/>
    <w:rsid w:val="00472AF4"/>
    <w:rsid w:val="00551AF8"/>
    <w:rsid w:val="005B5AFF"/>
    <w:rsid w:val="006162A4"/>
    <w:rsid w:val="006346F7"/>
    <w:rsid w:val="006D6EFB"/>
    <w:rsid w:val="007145BC"/>
    <w:rsid w:val="007D62E6"/>
    <w:rsid w:val="00807A18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2026-05-15T08:31:00Z</dcterms:modified>
</cp:coreProperties>
</file>