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430.2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77A7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77A7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77A7A">
              <w:rPr>
                <w:rFonts w:ascii="Titillium Web" w:hAnsi="Titillium Web"/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77A7A" w:rsidRDefault="0086297F" w:rsidP="002665C6">
            <w:pPr>
              <w:jc w:val="center"/>
              <w:rPr>
                <w:rFonts w:ascii="Titillium Web" w:hAnsi="Titillium Web"/>
              </w:rPr>
            </w:pPr>
            <w:r w:rsidRPr="00B77A7A">
              <w:rPr>
                <w:rFonts w:ascii="Titillium Web" w:hAnsi="Titillium Web"/>
              </w:rPr>
              <w:t>1925</w:t>
            </w:r>
          </w:p>
        </w:tc>
      </w:tr>
      <w:tr w:rsidR="0086297F" w:rsidRPr="00B77A7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77A7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77A7A">
              <w:rPr>
                <w:rFonts w:ascii="Titillium Web" w:hAnsi="Titillium Web"/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77A7A" w:rsidRDefault="0086297F" w:rsidP="002665C6">
            <w:pPr>
              <w:jc w:val="center"/>
              <w:rPr>
                <w:rFonts w:ascii="Titillium Web" w:hAnsi="Titillium Web"/>
              </w:rPr>
            </w:pPr>
            <w:r w:rsidRPr="00B77A7A">
              <w:rPr>
                <w:rFonts w:ascii="Titillium Web" w:hAnsi="Titillium Web"/>
              </w:rPr>
              <w:t>Intatta</w:t>
            </w:r>
          </w:p>
        </w:tc>
      </w:tr>
      <w:tr w:rsidR="0086297F" w:rsidRPr="00B77A7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77A7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77A7A">
              <w:rPr>
                <w:rFonts w:ascii="Titillium Web" w:hAnsi="Titillium Web"/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77A7A" w:rsidRDefault="0086297F" w:rsidP="002665C6">
            <w:pPr>
              <w:jc w:val="center"/>
              <w:rPr>
                <w:rFonts w:ascii="Titillium Web" w:hAnsi="Titillium Web"/>
              </w:rPr>
            </w:pPr>
            <w:r w:rsidRPr="00B77A7A">
              <w:rPr>
                <w:rFonts w:ascii="Titillium Web" w:hAnsi="Titillium Web"/>
              </w:rPr>
              <w:t>cremazione</w:t>
            </w:r>
          </w:p>
        </w:tc>
      </w:tr>
      <w:tr w:rsidR="0086297F" w:rsidRPr="00B77A7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77A7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77A7A">
              <w:rPr>
                <w:rFonts w:ascii="Titillium Web" w:hAnsi="Titillium Web"/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77A7A" w:rsidRDefault="0086297F" w:rsidP="002665C6">
            <w:pPr>
              <w:jc w:val="center"/>
              <w:rPr>
                <w:rFonts w:ascii="Titillium Web" w:hAnsi="Titillium Web"/>
              </w:rPr>
            </w:pPr>
            <w:r w:rsidRPr="00B77A7A">
              <w:rPr>
                <w:rFonts w:ascii="Titillium Web" w:hAnsi="Titillium Web"/>
              </w:rPr>
              <w:t>pozzetto semplice</w:t>
            </w:r>
          </w:p>
        </w:tc>
      </w:tr>
      <w:tr w:rsidR="0086297F" w:rsidRPr="00B77A7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77A7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77A7A">
              <w:rPr>
                <w:rFonts w:ascii="Titillium Web" w:hAnsi="Titillium Web"/>
                <w:smallCaps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77A7A" w:rsidRDefault="0086297F" w:rsidP="002665C6">
            <w:pPr>
              <w:jc w:val="center"/>
              <w:rPr>
                <w:rFonts w:ascii="Titillium Web" w:hAnsi="Titillium Web"/>
              </w:rPr>
            </w:pPr>
            <w:r w:rsidRPr="00B77A7A">
              <w:rPr>
                <w:rFonts w:ascii="Titillium Web" w:hAnsi="Titillium Web"/>
              </w:rPr>
              <w:t>1,05 m</w:t>
            </w:r>
          </w:p>
        </w:tc>
      </w:tr>
      <w:tr w:rsidR="0086297F" w:rsidRPr="00B77A7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77A7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77A7A">
              <w:rPr>
                <w:rFonts w:ascii="Titillium Web" w:hAnsi="Titillium Web"/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77A7A" w:rsidRDefault="0086297F" w:rsidP="002665C6">
            <w:pPr>
              <w:jc w:val="center"/>
              <w:rPr>
                <w:rFonts w:ascii="Titillium Web" w:hAnsi="Titillium Web"/>
              </w:rPr>
            </w:pPr>
            <w:r w:rsidRPr="00B77A7A">
              <w:rPr>
                <w:rFonts w:ascii="Titillium Web" w:hAnsi="Titillium Web"/>
              </w:rPr>
              <w:t>Dimensioni non registrate</w:t>
            </w:r>
          </w:p>
        </w:tc>
      </w:tr>
      <w:tr w:rsidR="0086297F" w:rsidRPr="00B77A7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77A7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77A7A">
              <w:rPr>
                <w:rFonts w:ascii="Titillium Web" w:hAnsi="Titillium Web"/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77A7A" w:rsidRDefault="0086297F" w:rsidP="002665C6">
            <w:pPr>
              <w:jc w:val="center"/>
              <w:rPr>
                <w:rFonts w:ascii="Titillium Web" w:hAnsi="Titillium Web"/>
              </w:rPr>
            </w:pPr>
            <w:r w:rsidRPr="00B77A7A">
              <w:rPr>
                <w:rFonts w:ascii="Titillium Web" w:hAnsi="Titillium Web"/>
              </w:rPr>
              <w:t>/</w:t>
            </w:r>
          </w:p>
        </w:tc>
      </w:tr>
      <w:tr w:rsidR="0086297F" w:rsidRPr="00B77A7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77A7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77A7A">
              <w:rPr>
                <w:rFonts w:ascii="Titillium Web" w:hAnsi="Titillium Web"/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77A7A" w:rsidRDefault="0086297F" w:rsidP="002665C6">
            <w:pPr>
              <w:jc w:val="center"/>
              <w:rPr>
                <w:rFonts w:ascii="Titillium Web" w:hAnsi="Titillium Web"/>
              </w:rPr>
            </w:pPr>
            <w:r w:rsidRPr="00B77A7A">
              <w:rPr>
                <w:rFonts w:ascii="Titillium Web" w:hAnsi="Titillium Web"/>
              </w:rPr>
              <w:t>/</w:t>
            </w:r>
          </w:p>
        </w:tc>
      </w:tr>
      <w:tr w:rsidR="0086297F" w:rsidRPr="00B77A7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77A7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77A7A">
              <w:rPr>
                <w:rFonts w:ascii="Titillium Web" w:hAnsi="Titillium Web"/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FB3342D" w14:textId="77777777" w:rsidR="00762D1B" w:rsidRPr="00B77A7A" w:rsidRDefault="003A19B0">
            <w:pPr>
              <w:rPr>
                <w:rFonts w:ascii="Titillium Web" w:hAnsi="Titillium Web"/>
                <w:i/>
                <w:iCs/>
              </w:rPr>
            </w:pPr>
            <w:r w:rsidRPr="00B77A7A">
              <w:rPr>
                <w:rFonts w:ascii="Titillium Web" w:hAnsi="Titillium Web"/>
                <w:i/>
                <w:iCs/>
              </w:rPr>
              <w:t>T. 430 e 431</w:t>
            </w:r>
          </w:p>
          <w:p w14:paraId="38E557E2" w14:textId="77777777" w:rsidR="00762D1B" w:rsidRPr="00B77A7A" w:rsidRDefault="003A19B0">
            <w:pPr>
              <w:rPr>
                <w:rFonts w:ascii="Titillium Web" w:hAnsi="Titillium Web"/>
                <w:i/>
                <w:iCs/>
              </w:rPr>
            </w:pPr>
            <w:r w:rsidRPr="00B77A7A">
              <w:rPr>
                <w:rFonts w:ascii="Titillium Web" w:hAnsi="Titillium Web"/>
                <w:i/>
                <w:iCs/>
              </w:rPr>
              <w:t>a cremazione</w:t>
            </w:r>
          </w:p>
          <w:p w14:paraId="51695DC4" w14:textId="77777777" w:rsidR="00762D1B" w:rsidRPr="00B77A7A" w:rsidRDefault="003A19B0">
            <w:pPr>
              <w:rPr>
                <w:rFonts w:ascii="Titillium Web" w:hAnsi="Titillium Web"/>
                <w:i/>
                <w:iCs/>
              </w:rPr>
            </w:pPr>
            <w:r w:rsidRPr="00B77A7A">
              <w:rPr>
                <w:rFonts w:ascii="Titillium Web" w:hAnsi="Titillium Web"/>
                <w:i/>
                <w:iCs/>
              </w:rPr>
              <w:t>A m 0,50 a nord della 429 e a m 1,05 di prof.tà si rinvengono:</w:t>
            </w:r>
          </w:p>
          <w:p w14:paraId="523F167F" w14:textId="77777777" w:rsidR="00762D1B" w:rsidRPr="00B77A7A" w:rsidRDefault="003A19B0">
            <w:pPr>
              <w:rPr>
                <w:rFonts w:ascii="Titillium Web" w:hAnsi="Titillium Web"/>
                <w:i/>
                <w:iCs/>
              </w:rPr>
            </w:pPr>
            <w:r w:rsidRPr="00B77A7A">
              <w:rPr>
                <w:rFonts w:ascii="Titillium Web" w:hAnsi="Titillium Web"/>
                <w:i/>
                <w:iCs/>
              </w:rPr>
              <w:t>2 piccoli dolietti a forma ovoidale di argilla cenerognola, senza anse, coperti da una ciotola</w:t>
            </w:r>
          </w:p>
          <w:p w14:paraId="594EEE5C" w14:textId="77777777" w:rsidR="00762D1B" w:rsidRPr="00B77A7A" w:rsidRDefault="003A19B0">
            <w:pPr>
              <w:rPr>
                <w:rFonts w:ascii="Titillium Web" w:hAnsi="Titillium Web"/>
                <w:i/>
                <w:iCs/>
              </w:rPr>
            </w:pPr>
            <w:r w:rsidRPr="00B77A7A">
              <w:rPr>
                <w:rFonts w:ascii="Titillium Web" w:hAnsi="Titillium Web"/>
                <w:i/>
                <w:iCs/>
              </w:rPr>
              <w:t>liscia e grezza di argilla eguale.</w:t>
            </w:r>
          </w:p>
          <w:p w14:paraId="441B32A9" w14:textId="77777777" w:rsidR="00762D1B" w:rsidRPr="00B77A7A" w:rsidRDefault="003A19B0">
            <w:pPr>
              <w:rPr>
                <w:rFonts w:ascii="Titillium Web" w:hAnsi="Titillium Web"/>
                <w:i/>
                <w:iCs/>
              </w:rPr>
            </w:pPr>
            <w:r w:rsidRPr="00B77A7A">
              <w:rPr>
                <w:rFonts w:ascii="Titillium Web" w:hAnsi="Titillium Web"/>
                <w:i/>
                <w:iCs/>
              </w:rPr>
              <w:t>Entro ai dolietti erano le ossa combuste.</w:t>
            </w:r>
          </w:p>
          <w:p w14:paraId="6273652B" w14:textId="77777777" w:rsidR="00762D1B" w:rsidRPr="00B77A7A" w:rsidRDefault="003A19B0">
            <w:pPr>
              <w:rPr>
                <w:rFonts w:ascii="Titillium Web" w:hAnsi="Titillium Web"/>
                <w:i/>
                <w:iCs/>
              </w:rPr>
            </w:pPr>
            <w:r w:rsidRPr="00B77A7A">
              <w:rPr>
                <w:rFonts w:ascii="Titillium Web" w:hAnsi="Titillium Web"/>
                <w:i/>
                <w:iCs/>
              </w:rPr>
              <w:t>Uno dei dolietti era completamente marcito e non si raccolse.</w:t>
            </w:r>
          </w:p>
          <w:p w14:paraId="7FFD1269" w14:textId="77777777" w:rsidR="00762D1B" w:rsidRPr="00B77A7A" w:rsidRDefault="003A19B0">
            <w:pPr>
              <w:rPr>
                <w:rFonts w:ascii="Titillium Web" w:hAnsi="Titillium Web"/>
                <w:i/>
                <w:iCs/>
              </w:rPr>
            </w:pPr>
            <w:r w:rsidRPr="00B77A7A">
              <w:rPr>
                <w:rFonts w:ascii="Titillium Web" w:hAnsi="Titillium Web"/>
                <w:i/>
                <w:iCs/>
              </w:rPr>
              <w:t>Evidentemente i seppellitori di queste tombe e della precedente incontrarono e distrussero la tomba che dianzi esisteva e della quale si rinvengono i frammenti di vasi figurati e di piattelli e vasetti a vernice nera.</w:t>
            </w:r>
          </w:p>
        </w:tc>
      </w:tr>
      <w:tr w:rsidR="0086297F" w:rsidRPr="00B77A7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77A7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77A7A">
              <w:rPr>
                <w:rFonts w:ascii="Titillium Web" w:hAnsi="Titillium Web"/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77A7A" w:rsidRDefault="0086297F" w:rsidP="002665C6">
            <w:pPr>
              <w:jc w:val="center"/>
              <w:rPr>
                <w:rFonts w:ascii="Titillium Web" w:hAnsi="Titillium Web"/>
              </w:rPr>
            </w:pPr>
            <w:r w:rsidRPr="00B77A7A">
              <w:rPr>
                <w:rFonts w:ascii="Titillium Web" w:hAnsi="Titillium Web"/>
              </w:rPr>
              <w:t>Nessun oggetto rinvenuto</w:t>
            </w:r>
          </w:p>
        </w:tc>
      </w:tr>
      <w:tr w:rsidR="0086297F" w:rsidRPr="00B77A7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77A7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77A7A">
              <w:rPr>
                <w:rFonts w:ascii="Titillium Web" w:hAnsi="Titillium Web"/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77A7A" w:rsidRDefault="0086297F" w:rsidP="002665C6">
            <w:pPr>
              <w:jc w:val="center"/>
              <w:rPr>
                <w:rFonts w:ascii="Titillium Web" w:hAnsi="Titillium Web"/>
              </w:rPr>
            </w:pPr>
            <w:r w:rsidRPr="00B77A7A">
              <w:rPr>
                <w:rFonts w:ascii="Titillium Web" w:hAnsi="Titillium Web"/>
              </w:rPr>
              <w:t>Non determinabile</w:t>
            </w:r>
          </w:p>
        </w:tc>
      </w:tr>
      <w:tr w:rsidR="0086297F" w:rsidRPr="00B77A7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77A7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77A7A">
              <w:rPr>
                <w:rFonts w:ascii="Titillium Web" w:hAnsi="Titillium Web"/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77A7A" w:rsidRDefault="0086297F" w:rsidP="002665C6">
            <w:pPr>
              <w:jc w:val="center"/>
              <w:rPr>
                <w:rFonts w:ascii="Titillium Web" w:hAnsi="Titillium Web"/>
              </w:rPr>
            </w:pPr>
            <w:r w:rsidRPr="00B77A7A">
              <w:rPr>
                <w:rFonts w:ascii="Titillium Web" w:hAnsi="Titillium Web"/>
              </w:rPr>
              <w:t>Non determinabile</w:t>
            </w:r>
          </w:p>
        </w:tc>
      </w:tr>
      <w:tr w:rsidR="0086297F" w:rsidRPr="00B77A7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77A7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77A7A">
              <w:rPr>
                <w:rFonts w:ascii="Titillium Web" w:hAnsi="Titillium Web"/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77A7A" w:rsidRDefault="0086297F" w:rsidP="002665C6">
            <w:pPr>
              <w:jc w:val="center"/>
              <w:rPr>
                <w:rFonts w:ascii="Titillium Web" w:hAnsi="Titillium Web"/>
              </w:rPr>
            </w:pPr>
            <w:r w:rsidRPr="00B77A7A">
              <w:rPr>
                <w:rFonts w:ascii="Titillium Web" w:hAnsi="Titillium Web"/>
              </w:rPr>
              <w:t>Non determinabile</w:t>
            </w:r>
          </w:p>
        </w:tc>
      </w:tr>
      <w:tr w:rsidR="0086297F" w:rsidRPr="00B77A7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77A7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77A7A">
              <w:rPr>
                <w:rFonts w:ascii="Titillium Web" w:hAnsi="Titillium Web"/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33359B1A" w:rsidR="0086297F" w:rsidRPr="00B77A7A" w:rsidRDefault="0086297F" w:rsidP="002665C6">
            <w:pPr>
              <w:jc w:val="center"/>
              <w:rPr>
                <w:rFonts w:ascii="Titillium Web" w:hAnsi="Titillium Web"/>
              </w:rPr>
            </w:pPr>
            <w:r w:rsidRPr="00B77A7A">
              <w:rPr>
                <w:rFonts w:ascii="Titillium Web" w:eastAsia="Titillium" w:hAnsi="Titillium Web" w:cs="Titillium"/>
                <w:smallCaps/>
              </w:rPr>
              <w:t>Baldoni</w:t>
            </w:r>
            <w:r w:rsidRPr="00B77A7A">
              <w:rPr>
                <w:rFonts w:ascii="Titillium Web" w:eastAsia="Titillium" w:hAnsi="Titillium Web" w:cs="Titillium"/>
              </w:rPr>
              <w:t xml:space="preserve"> 1981, p. 173, n. 145; </w:t>
            </w:r>
            <w:r w:rsidRPr="00B77A7A">
              <w:rPr>
                <w:rFonts w:ascii="Titillium Web" w:eastAsia="Titillium" w:hAnsi="Titillium Web" w:cs="Titillium"/>
                <w:smallCaps/>
              </w:rPr>
              <w:t>Romagnoli</w:t>
            </w:r>
            <w:r w:rsidRPr="00B77A7A">
              <w:rPr>
                <w:rFonts w:ascii="Titillium Web" w:eastAsia="Titillium" w:hAnsi="Titillium Web" w:cs="Titillium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178C3"/>
    <w:rsid w:val="00147C5A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62D1B"/>
    <w:rsid w:val="0086297F"/>
    <w:rsid w:val="009E4922"/>
    <w:rsid w:val="00AB321D"/>
    <w:rsid w:val="00B165C4"/>
    <w:rsid w:val="00B77A7A"/>
    <w:rsid w:val="00C21EE0"/>
    <w:rsid w:val="00D900AB"/>
    <w:rsid w:val="00D936E8"/>
    <w:rsid w:val="00E24633"/>
    <w:rsid w:val="00E9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2026-05-15T08:30:00Z</dcterms:modified>
</cp:coreProperties>
</file>