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457.2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B735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1925</w:t>
            </w:r>
          </w:p>
        </w:tc>
      </w:tr>
      <w:tr w:rsidR="0086297F" w:rsidRPr="006B735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Intatta</w:t>
            </w:r>
          </w:p>
        </w:tc>
      </w:tr>
      <w:tr w:rsidR="0086297F" w:rsidRPr="006B735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Inumazione</w:t>
            </w:r>
          </w:p>
        </w:tc>
      </w:tr>
      <w:tr w:rsidR="0086297F" w:rsidRPr="006B735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fossa semplice, forma non registrata</w:t>
            </w:r>
          </w:p>
        </w:tc>
      </w:tr>
      <w:tr w:rsidR="0086297F" w:rsidRPr="006B735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1 m</w:t>
            </w:r>
          </w:p>
        </w:tc>
      </w:tr>
      <w:tr w:rsidR="0086297F" w:rsidRPr="006B735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6B735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NW-SE</w:t>
            </w:r>
          </w:p>
        </w:tc>
      </w:tr>
      <w:tr w:rsidR="0086297F" w:rsidRPr="006B735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/</w:t>
            </w:r>
          </w:p>
        </w:tc>
      </w:tr>
      <w:tr w:rsidR="0086297F" w:rsidRPr="006B735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44095A4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T. 457 – 458 umate (tomba bisoma)</w:t>
            </w:r>
          </w:p>
          <w:p w14:paraId="1CB994F0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A m 25,30 dallo Scolo B, a m 24 dal vecchio scavo e a m 1,00 di prof.tà giace uno scheletro (457) orientato da N.O. a S.E., e sopra di esso alla sua sinistra e poggiato un secondo scheletro piccolo, di fanciullo.</w:t>
            </w:r>
          </w:p>
          <w:p w14:paraId="1693854B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Il cranio dello scheletro è (sia caso o posizione voluta espressamente) amorevolmente ripiegati in basso verso il piccino.</w:t>
            </w:r>
          </w:p>
          <w:p w14:paraId="346D5A60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Lo scheletro grande (457) ha infilato nel braccio sinistro</w:t>
            </w:r>
          </w:p>
          <w:p w14:paraId="6230DD54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armilla di verghetta sottile di bronzo, intera, diam 0,05</w:t>
            </w:r>
          </w:p>
          <w:p w14:paraId="07A7D229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Nella mano destra:</w:t>
            </w:r>
          </w:p>
          <w:p w14:paraId="4C361EEC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frammento informe di bronzo (aes-rude?)</w:t>
            </w:r>
          </w:p>
          <w:p w14:paraId="534D2E22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Sullo sterno si rinvennero:</w:t>
            </w:r>
          </w:p>
          <w:p w14:paraId="52EFA57E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perlina di pasta vitrea</w:t>
            </w:r>
          </w:p>
          <w:p w14:paraId="4EACB621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oggettino di osso (?) con foro pervio a forma di tappo, deve essere l’appiccagnolo di qualche oggettino</w:t>
            </w:r>
          </w:p>
          <w:p w14:paraId="52D3E448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dischetto di osso (?) discoidale a forma di piccola pastiglia</w:t>
            </w:r>
          </w:p>
          <w:p w14:paraId="25E98542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frammento di bronzo</w:t>
            </w:r>
          </w:p>
          <w:p w14:paraId="0AAA0C6C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frammento di osso che sembra un punteruolo</w:t>
            </w:r>
          </w:p>
          <w:p w14:paraId="38AB3DBD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Sempre presso la mano d.</w:t>
            </w:r>
          </w:p>
          <w:p w14:paraId="1C6C3F79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idolo di argilla cenerognola, marcita, rappresentante una figura barbata, seduta, con le mani raccolte sul ventre e fra le gambe aperte si erge in alto fino alle mani il fallo. La terracotta è in condizioni miserevoli perchè marcita, il dettaglio è mancante poiché lo stampo doveva essere consumato.</w:t>
            </w:r>
          </w:p>
          <w:p w14:paraId="7FCBC731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lastRenderedPageBreak/>
              <w:t>Sempre presso la d.:</w:t>
            </w:r>
          </w:p>
          <w:p w14:paraId="47A59285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alabastron di alabastro bianco intero (salvo un piccolo forellino)</w:t>
            </w:r>
          </w:p>
          <w:p w14:paraId="35F2CB90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 xml:space="preserve">1 kylix a v.n., intera, con nel medaglione disegno trascurato di figura nuda la quale sembra reggeva nella sinistra un </w:t>
            </w:r>
            <w:proofErr w:type="gramStart"/>
            <w:r w:rsidRPr="006B735F">
              <w:rPr>
                <w:rFonts w:ascii="Titillium Web" w:hAnsi="Titillium Web"/>
                <w:i/>
                <w:iCs/>
              </w:rPr>
              <w:t>drappo ?</w:t>
            </w:r>
            <w:proofErr w:type="gramEnd"/>
            <w:r w:rsidRPr="006B735F">
              <w:rPr>
                <w:rFonts w:ascii="Titillium Web" w:hAnsi="Titillium Web"/>
                <w:i/>
                <w:iCs/>
              </w:rPr>
              <w:t xml:space="preserve"> (a fig. nere sul fondo rosso). Nel rovescio quadrighe nei riquadri e occhioni presso le anse (a fig. nere e graffite).</w:t>
            </w:r>
          </w:p>
          <w:p w14:paraId="3E782596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proofErr w:type="gramStart"/>
            <w:r w:rsidRPr="006B735F">
              <w:rPr>
                <w:rFonts w:ascii="Titillium Web" w:hAnsi="Titillium Web"/>
                <w:i/>
                <w:iCs/>
              </w:rPr>
              <w:t>2</w:t>
            </w:r>
            <w:proofErr w:type="gramEnd"/>
            <w:r w:rsidRPr="006B735F">
              <w:rPr>
                <w:rFonts w:ascii="Titillium Web" w:hAnsi="Titillium Web"/>
                <w:i/>
                <w:iCs/>
              </w:rPr>
              <w:t xml:space="preserve"> scodelline a vernice nera interi</w:t>
            </w:r>
          </w:p>
          <w:p w14:paraId="2246AFE7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skyfos a ver. n. con due anse (una ad anello) è crinato</w:t>
            </w:r>
          </w:p>
          <w:p w14:paraId="0CD7048B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vasetto di argilla giallastra, grezzo, intero</w:t>
            </w:r>
          </w:p>
          <w:p w14:paraId="2FD5F0E2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proofErr w:type="gramStart"/>
            <w:r w:rsidRPr="006B735F">
              <w:rPr>
                <w:rFonts w:ascii="Titillium Web" w:hAnsi="Titillium Web"/>
                <w:i/>
                <w:iCs/>
              </w:rPr>
              <w:t>2</w:t>
            </w:r>
            <w:proofErr w:type="gramEnd"/>
            <w:r w:rsidRPr="006B735F">
              <w:rPr>
                <w:rFonts w:ascii="Titillium Web" w:hAnsi="Titillium Web"/>
                <w:i/>
                <w:iCs/>
              </w:rPr>
              <w:t xml:space="preserve"> piatti ad alto piede di argilla giallastra, grezzi (uno è rotto in pezzi, l’altro è intero con sigle graffite sotto il piede</w:t>
            </w:r>
          </w:p>
          <w:p w14:paraId="3D86E445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A destra del cranio era:</w:t>
            </w:r>
          </w:p>
          <w:p w14:paraId="7AF0008E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piccola kelebe a figure rosse, molto avariata, frammentata. Nel diritto: a sinistra una figura barbata davanti a un giovane nudo in atto di saltare. Nel rovescio: figura ammantata con bastone, disegno inabile e affrettato.</w:t>
            </w:r>
          </w:p>
          <w:p w14:paraId="64525174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Non si rinvenne il piede della kelebe.</w:t>
            </w:r>
          </w:p>
          <w:p w14:paraId="450BB15F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 xml:space="preserve">Presso la testa del </w:t>
            </w:r>
            <w:proofErr w:type="gramStart"/>
            <w:r w:rsidRPr="006B735F">
              <w:rPr>
                <w:rFonts w:ascii="Titillium Web" w:hAnsi="Titillium Web"/>
                <w:i/>
                <w:iCs/>
              </w:rPr>
              <w:t>piccino ?</w:t>
            </w:r>
            <w:proofErr w:type="gramEnd"/>
            <w:r w:rsidRPr="006B735F">
              <w:rPr>
                <w:rFonts w:ascii="Titillium Web" w:hAnsi="Titillium Web"/>
                <w:i/>
                <w:iCs/>
              </w:rPr>
              <w:t xml:space="preserve"> era:</w:t>
            </w:r>
          </w:p>
          <w:p w14:paraId="6CA0685E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lekythos ariballica con corpo cipolliforme di argilla giallo-chiara, a forma schiacciata nel ventre, è intero.</w:t>
            </w:r>
          </w:p>
          <w:p w14:paraId="60D0DCB3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Sul petto erano:</w:t>
            </w:r>
          </w:p>
          <w:p w14:paraId="47AFB749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piccolo aryballos di forma ovoidale, con linee nere incrociantesi, intero.</w:t>
            </w:r>
          </w:p>
          <w:p w14:paraId="3B1759D1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Presso il destro (forse presso la mano?)</w:t>
            </w:r>
          </w:p>
          <w:p w14:paraId="09DD68CB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piccola testuggine di terracotta, di argilla cenerognola friabilissima, grezza</w:t>
            </w:r>
          </w:p>
          <w:p w14:paraId="0E09DA43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1 ciottolo comune di colore bluastro</w:t>
            </w:r>
          </w:p>
          <w:p w14:paraId="2B06FDC1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A causa della grande umidità l’obiettivo appannava e non bastava pulirlo spesso. Non fu possibile trarre fotografie.</w:t>
            </w:r>
          </w:p>
          <w:p w14:paraId="46419E8B" w14:textId="77777777" w:rsidR="002829EB" w:rsidRPr="006B735F" w:rsidRDefault="00C609AA">
            <w:pPr>
              <w:rPr>
                <w:rFonts w:ascii="Titillium Web" w:hAnsi="Titillium Web"/>
                <w:i/>
                <w:iCs/>
              </w:rPr>
            </w:pPr>
            <w:r w:rsidRPr="006B735F">
              <w:rPr>
                <w:rFonts w:ascii="Titillium Web" w:hAnsi="Titillium Web"/>
                <w:i/>
                <w:iCs/>
              </w:rPr>
              <w:t>Per ordine dell’Ispettore si è dato un numero unico alla Tomba 457.</w:t>
            </w:r>
          </w:p>
        </w:tc>
      </w:tr>
      <w:tr w:rsidR="0086297F" w:rsidRPr="006B735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Fianco destro</w:t>
            </w:r>
          </w:p>
        </w:tc>
      </w:tr>
      <w:tr w:rsidR="0086297F" w:rsidRPr="006B735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Non determinabile</w:t>
            </w:r>
          </w:p>
        </w:tc>
      </w:tr>
      <w:tr w:rsidR="0086297F" w:rsidRPr="006B735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Non determinabile</w:t>
            </w:r>
          </w:p>
        </w:tc>
      </w:tr>
      <w:tr w:rsidR="0086297F" w:rsidRPr="006B735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hAnsi="Titillium Web"/>
              </w:rPr>
              <w:t>Adulto</w:t>
            </w:r>
          </w:p>
        </w:tc>
      </w:tr>
      <w:tr w:rsidR="0086297F" w:rsidRPr="006B735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B735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6B735F">
              <w:rPr>
                <w:rFonts w:ascii="Titillium Web" w:hAnsi="Titillium Web"/>
                <w:smallCaps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3359B1A" w:rsidR="0086297F" w:rsidRPr="006B735F" w:rsidRDefault="0086297F" w:rsidP="002665C6">
            <w:pPr>
              <w:jc w:val="center"/>
              <w:rPr>
                <w:rFonts w:ascii="Titillium Web" w:hAnsi="Titillium Web"/>
              </w:rPr>
            </w:pPr>
            <w:r w:rsidRPr="006B735F">
              <w:rPr>
                <w:rFonts w:ascii="Titillium Web" w:eastAsia="Titillium" w:hAnsi="Titillium Web" w:cs="Titillium"/>
                <w:smallCaps/>
              </w:rPr>
              <w:t>Negrioli</w:t>
            </w:r>
            <w:r w:rsidRPr="006B735F">
              <w:rPr>
                <w:rFonts w:ascii="Titillium Web" w:eastAsia="Titillium" w:hAnsi="Titillium Web" w:cs="Titillium"/>
              </w:rPr>
              <w:t xml:space="preserve"> 1927, pp. 188-189; </w:t>
            </w:r>
            <w:r w:rsidRPr="006B735F">
              <w:rPr>
                <w:rFonts w:ascii="Titillium Web" w:eastAsia="Titillium" w:hAnsi="Titillium Web" w:cs="Titillium"/>
                <w:smallCaps/>
              </w:rPr>
              <w:t>Aurigemma</w:t>
            </w:r>
            <w:r w:rsidRPr="006B735F">
              <w:rPr>
                <w:rFonts w:ascii="Titillium Web" w:eastAsia="Titillium" w:hAnsi="Titillium Web" w:cs="Titillium"/>
              </w:rPr>
              <w:t xml:space="preserve"> 1965, p. 40; </w:t>
            </w:r>
            <w:r w:rsidRPr="006B735F">
              <w:rPr>
                <w:rFonts w:ascii="Titillium Web" w:eastAsia="Titillium" w:hAnsi="Titillium Web" w:cs="Titillium"/>
                <w:smallCaps/>
              </w:rPr>
              <w:t>Romagnoli</w:t>
            </w:r>
            <w:r w:rsidRPr="006B735F">
              <w:rPr>
                <w:rFonts w:ascii="Titillium Web" w:eastAsia="Titillium" w:hAnsi="Titillium Web" w:cs="Titillium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1042"/>
    <w:rsid w:val="002829EB"/>
    <w:rsid w:val="002977D7"/>
    <w:rsid w:val="00472AF4"/>
    <w:rsid w:val="00551AF8"/>
    <w:rsid w:val="005B5AFF"/>
    <w:rsid w:val="006162A4"/>
    <w:rsid w:val="006346F7"/>
    <w:rsid w:val="006B735F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2026-05-15T08:10:00Z</dcterms:modified>
</cp:coreProperties>
</file>