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459.2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F2C0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F2C01" w:rsidRDefault="0086297F" w:rsidP="002665C6">
            <w:pPr>
              <w:jc w:val="center"/>
              <w:rPr>
                <w:rFonts w:ascii="Titillium Web" w:hAnsi="Titillium Web"/>
              </w:rPr>
            </w:pPr>
            <w:r w:rsidRPr="00BF2C01">
              <w:rPr>
                <w:rFonts w:ascii="Titillium Web" w:hAnsi="Titillium Web"/>
              </w:rPr>
              <w:t>1925</w:t>
            </w:r>
          </w:p>
        </w:tc>
      </w:tr>
      <w:tr w:rsidR="0086297F" w:rsidRPr="00BF2C0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F2C01" w:rsidRDefault="0086297F" w:rsidP="002665C6">
            <w:pPr>
              <w:jc w:val="center"/>
              <w:rPr>
                <w:rFonts w:ascii="Titillium Web" w:hAnsi="Titillium Web"/>
              </w:rPr>
            </w:pPr>
            <w:r w:rsidRPr="00BF2C01">
              <w:rPr>
                <w:rFonts w:ascii="Titillium Web" w:hAnsi="Titillium Web"/>
              </w:rPr>
              <w:t>Sconvolta</w:t>
            </w:r>
          </w:p>
        </w:tc>
      </w:tr>
      <w:tr w:rsidR="0086297F" w:rsidRPr="00BF2C0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F2C01" w:rsidRDefault="0086297F" w:rsidP="002665C6">
            <w:pPr>
              <w:jc w:val="center"/>
              <w:rPr>
                <w:rFonts w:ascii="Titillium Web" w:hAnsi="Titillium Web"/>
              </w:rPr>
            </w:pPr>
            <w:r w:rsidRPr="00BF2C01">
              <w:rPr>
                <w:rFonts w:ascii="Titillium Web" w:hAnsi="Titillium Web"/>
              </w:rPr>
              <w:t>Inumazione</w:t>
            </w:r>
          </w:p>
        </w:tc>
      </w:tr>
      <w:tr w:rsidR="0086297F" w:rsidRPr="00BF2C0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F2C01" w:rsidRDefault="0086297F" w:rsidP="002665C6">
            <w:pPr>
              <w:jc w:val="center"/>
              <w:rPr>
                <w:rFonts w:ascii="Titillium Web" w:hAnsi="Titillium Web"/>
              </w:rPr>
            </w:pPr>
            <w:r w:rsidRPr="00BF2C01">
              <w:rPr>
                <w:rFonts w:ascii="Titillium Web" w:hAnsi="Titillium Web"/>
              </w:rPr>
              <w:t>fossa semplice, forma non registrata</w:t>
            </w:r>
          </w:p>
        </w:tc>
      </w:tr>
      <w:tr w:rsidR="0086297F" w:rsidRPr="00BF2C0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F2C01" w:rsidRDefault="0086297F" w:rsidP="002665C6">
            <w:pPr>
              <w:jc w:val="center"/>
              <w:rPr>
                <w:rFonts w:ascii="Titillium Web" w:hAnsi="Titillium Web"/>
              </w:rPr>
            </w:pPr>
            <w:r w:rsidRPr="00BF2C01">
              <w:rPr>
                <w:rFonts w:ascii="Titillium Web" w:hAnsi="Titillium Web"/>
              </w:rPr>
              <w:t>1,1 m</w:t>
            </w:r>
          </w:p>
        </w:tc>
      </w:tr>
      <w:tr w:rsidR="0086297F" w:rsidRPr="00BF2C0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F2C01" w:rsidRDefault="0086297F" w:rsidP="002665C6">
            <w:pPr>
              <w:jc w:val="center"/>
              <w:rPr>
                <w:rFonts w:ascii="Titillium Web" w:hAnsi="Titillium Web"/>
              </w:rPr>
            </w:pPr>
            <w:r w:rsidRPr="00BF2C01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BF2C0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F2C01" w:rsidRDefault="0086297F" w:rsidP="002665C6">
            <w:pPr>
              <w:jc w:val="center"/>
              <w:rPr>
                <w:rFonts w:ascii="Titillium Web" w:hAnsi="Titillium Web"/>
              </w:rPr>
            </w:pPr>
            <w:r w:rsidRPr="00BF2C01">
              <w:rPr>
                <w:rFonts w:ascii="Titillium Web" w:hAnsi="Titillium Web"/>
              </w:rPr>
              <w:t>NNW-SSE</w:t>
            </w:r>
          </w:p>
        </w:tc>
      </w:tr>
      <w:tr w:rsidR="0086297F" w:rsidRPr="00BF2C0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F2C01" w:rsidRDefault="0086297F" w:rsidP="002665C6">
            <w:pPr>
              <w:jc w:val="center"/>
              <w:rPr>
                <w:rFonts w:ascii="Titillium Web" w:hAnsi="Titillium Web"/>
              </w:rPr>
            </w:pPr>
            <w:r w:rsidRPr="00BF2C01">
              <w:rPr>
                <w:rFonts w:ascii="Titillium Web" w:hAnsi="Titillium Web"/>
              </w:rPr>
              <w:t>/</w:t>
            </w:r>
          </w:p>
        </w:tc>
      </w:tr>
      <w:tr w:rsidR="0086297F" w:rsidRPr="00BF2C0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A39188A" w14:textId="77777777" w:rsidR="00527602" w:rsidRPr="00BF2C01" w:rsidRDefault="00BB72D3">
            <w:pPr>
              <w:rPr>
                <w:rFonts w:ascii="Titillium Web" w:hAnsi="Titillium Web"/>
                <w:i/>
                <w:iCs/>
              </w:rPr>
            </w:pPr>
            <w:r w:rsidRPr="00BF2C01">
              <w:rPr>
                <w:rFonts w:ascii="Titillium Web" w:hAnsi="Titillium Web"/>
                <w:i/>
                <w:iCs/>
              </w:rPr>
              <w:t>Stamane ho eseguito una trincea di saggio a m. 20 a nord del piccolo dosso C (I zona) La sabbia pura nel culmine del dosso quasi affiora ed è purissima -; nessun coccio – a m. 1,10 di profondità si rinvengono due scheletri umani.</w:t>
            </w:r>
          </w:p>
          <w:p w14:paraId="4B6F0ED2" w14:textId="77777777" w:rsidR="00527602" w:rsidRPr="00BF2C01" w:rsidRDefault="00BB72D3">
            <w:pPr>
              <w:rPr>
                <w:rFonts w:ascii="Titillium Web" w:hAnsi="Titillium Web"/>
                <w:i/>
                <w:iCs/>
              </w:rPr>
            </w:pPr>
            <w:r w:rsidRPr="00BF2C01">
              <w:rPr>
                <w:rFonts w:ascii="Titillium Web" w:hAnsi="Titillium Web"/>
                <w:i/>
                <w:iCs/>
              </w:rPr>
              <w:t>Uno di questi è orientato da NNO a SSE e l’altro è in parte poggiato sul primo ma di traverso e scomposto – La trincea è tracciata da Ponente a levante, lunga una trentina (30) di metri e larga due – una non ha dato nulla –</w:t>
            </w:r>
          </w:p>
          <w:p w14:paraId="7E9859F7" w14:textId="77777777" w:rsidR="00527602" w:rsidRPr="00BF2C01" w:rsidRDefault="00BB72D3">
            <w:pPr>
              <w:rPr>
                <w:rFonts w:ascii="Titillium Web" w:hAnsi="Titillium Web"/>
                <w:i/>
                <w:iCs/>
              </w:rPr>
            </w:pPr>
            <w:r w:rsidRPr="00BF2C01">
              <w:rPr>
                <w:rFonts w:ascii="Titillium Web" w:hAnsi="Titillium Web"/>
                <w:i/>
                <w:iCs/>
              </w:rPr>
              <w:t>D’ordine dell’Ispettore a questi scheletri fu dato il n° 459 li 27 febb. 1926</w:t>
            </w:r>
          </w:p>
        </w:tc>
      </w:tr>
      <w:tr w:rsidR="0086297F" w:rsidRPr="00BF2C0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F2C01" w:rsidRDefault="0086297F" w:rsidP="002665C6">
            <w:pPr>
              <w:jc w:val="center"/>
              <w:rPr>
                <w:rFonts w:ascii="Titillium Web" w:hAnsi="Titillium Web"/>
              </w:rPr>
            </w:pPr>
            <w:r w:rsidRPr="00BF2C01">
              <w:rPr>
                <w:rFonts w:ascii="Titillium Web" w:hAnsi="Titillium Web"/>
              </w:rPr>
              <w:t>Nessun oggetto rinvenuto</w:t>
            </w:r>
          </w:p>
        </w:tc>
      </w:tr>
      <w:tr w:rsidR="0086297F" w:rsidRPr="00BF2C0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F2C01" w:rsidRDefault="0086297F" w:rsidP="002665C6">
            <w:pPr>
              <w:jc w:val="center"/>
              <w:rPr>
                <w:rFonts w:ascii="Titillium Web" w:hAnsi="Titillium Web"/>
              </w:rPr>
            </w:pPr>
            <w:r w:rsidRPr="00BF2C01">
              <w:rPr>
                <w:rFonts w:ascii="Titillium Web" w:hAnsi="Titillium Web"/>
              </w:rPr>
              <w:t>Non determinabile</w:t>
            </w:r>
          </w:p>
        </w:tc>
      </w:tr>
      <w:tr w:rsidR="0086297F" w:rsidRPr="00BF2C0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F2C01" w:rsidRDefault="0086297F" w:rsidP="002665C6">
            <w:pPr>
              <w:jc w:val="center"/>
              <w:rPr>
                <w:rFonts w:ascii="Titillium Web" w:hAnsi="Titillium Web"/>
              </w:rPr>
            </w:pPr>
            <w:r w:rsidRPr="00BF2C01">
              <w:rPr>
                <w:rFonts w:ascii="Titillium Web" w:hAnsi="Titillium Web"/>
              </w:rPr>
              <w:t>Non determinabile</w:t>
            </w:r>
          </w:p>
        </w:tc>
      </w:tr>
      <w:tr w:rsidR="0086297F" w:rsidRPr="00BF2C0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F2C01" w:rsidRDefault="0086297F" w:rsidP="002665C6">
            <w:pPr>
              <w:jc w:val="center"/>
              <w:rPr>
                <w:rFonts w:ascii="Titillium Web" w:hAnsi="Titillium Web"/>
              </w:rPr>
            </w:pPr>
            <w:r w:rsidRPr="00BF2C01">
              <w:rPr>
                <w:rFonts w:ascii="Titillium Web" w:hAnsi="Titillium Web"/>
              </w:rPr>
              <w:t>Non determinabile</w:t>
            </w:r>
          </w:p>
        </w:tc>
      </w:tr>
      <w:tr w:rsidR="0086297F" w:rsidRPr="00BF2C0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F2C0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2C01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33359B1A" w:rsidR="0086297F" w:rsidRPr="00BF2C01" w:rsidRDefault="0086297F" w:rsidP="002665C6">
            <w:pPr>
              <w:jc w:val="center"/>
              <w:rPr>
                <w:rFonts w:ascii="Titillium Web" w:hAnsi="Titillium Web"/>
              </w:rPr>
            </w:pPr>
            <w:r w:rsidRPr="00BF2C01">
              <w:rPr>
                <w:rFonts w:ascii="Titillium Web" w:eastAsia="Titillium" w:hAnsi="Titillium Web" w:cs="Titillium"/>
                <w:smallCaps/>
              </w:rPr>
              <w:t>Timossi</w:t>
            </w:r>
            <w:r w:rsidRPr="00BF2C01">
              <w:rPr>
                <w:rFonts w:ascii="Titillium Web" w:eastAsia="Titillium" w:hAnsi="Titillium Web" w:cs="Titillium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27602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56D62"/>
    <w:rsid w:val="00BF2C01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2026-05-15T08:09:00Z</dcterms:modified>
</cp:coreProperties>
</file>