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46</w:t>
      </w:r>
    </w:p>
    <w:tbl>
      <w:tblPr>
        <w:tblStyle w:val="Grigliatabella"/>
        <w:tblW w:w="5000" w:type="pct"/>
        <w:jc w:val="center"/>
        <w:tblLook w:val="04A0" w:firstRow="1" w:lastRow="0" w:firstColumn="1" w:lastColumn="0" w:noHBand="0" w:noVBand="1"/>
      </w:tblPr>
      <w:tblGrid>
        <w:gridCol w:w="2990"/>
        <w:gridCol w:w="6070"/>
      </w:tblGrid>
      <w:tr w:rsidR="001B5504" w:rsidRPr="00A40E82" w14:paraId="7E897B51" w14:textId="77777777" w:rsidTr="001B5504">
        <w:trPr>
          <w:jc w:val="center"/>
        </w:trPr>
        <w:tc>
          <w:tcPr>
            <w:tcW w:w="1650" w:type="pct"/>
            <w:vAlign w:val="center"/>
          </w:tcPr>
          <w:p w14:paraId="42CC7784"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Anno di rinvenimento</w:t>
            </w:r>
          </w:p>
        </w:tc>
        <w:tc>
          <w:tcPr>
            <w:tcW w:w="3350" w:type="pct"/>
            <w:vAlign w:val="center"/>
          </w:tcPr>
          <w:p w14:paraId="3911E4F6" w14:textId="6BFD1686" w:rsidR="001B5504" w:rsidRPr="00A40E82" w:rsidRDefault="001B5504" w:rsidP="00BF212E">
            <w:pPr>
              <w:jc w:val="center"/>
              <w:rPr>
                <w:rFonts w:ascii="Titillium Web" w:hAnsi="Titillium Web"/>
                <w:szCs w:val="24"/>
              </w:rPr>
            </w:pPr>
            <w:r w:rsidRPr="00A40E82">
              <w:rPr>
                <w:rFonts w:ascii="Titillium Web" w:hAnsi="Titillium Web"/>
                <w:szCs w:val="24"/>
              </w:rPr>
              <w:t>1923</w:t>
            </w:r>
          </w:p>
        </w:tc>
      </w:tr>
      <w:tr w:rsidR="001B5504" w:rsidRPr="00A40E82" w14:paraId="4120B077" w14:textId="77777777" w:rsidTr="001B5504">
        <w:trPr>
          <w:jc w:val="center"/>
        </w:trPr>
        <w:tc>
          <w:tcPr>
            <w:tcW w:w="1650" w:type="pct"/>
            <w:vAlign w:val="center"/>
          </w:tcPr>
          <w:p w14:paraId="7B4CDD57"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Stato di conservazione della tomba</w:t>
            </w:r>
          </w:p>
        </w:tc>
        <w:tc>
          <w:tcPr>
            <w:tcW w:w="3350" w:type="pct"/>
            <w:vAlign w:val="center"/>
          </w:tcPr>
          <w:p w14:paraId="4ED449D1" w14:textId="67560E4F" w:rsidR="001B5504" w:rsidRPr="00A40E82" w:rsidRDefault="001B5504" w:rsidP="00BF212E">
            <w:pPr>
              <w:jc w:val="center"/>
              <w:rPr>
                <w:rFonts w:ascii="Titillium Web" w:hAnsi="Titillium Web"/>
                <w:szCs w:val="24"/>
              </w:rPr>
            </w:pPr>
            <w:r w:rsidRPr="00A40E82">
              <w:rPr>
                <w:rFonts w:ascii="Titillium Web" w:hAnsi="Titillium Web"/>
                <w:szCs w:val="24"/>
              </w:rPr>
              <w:t>Intatta</w:t>
            </w:r>
          </w:p>
        </w:tc>
      </w:tr>
      <w:tr w:rsidR="001B5504" w:rsidRPr="00A40E82" w14:paraId="7A448E9D" w14:textId="77777777" w:rsidTr="001B5504">
        <w:trPr>
          <w:jc w:val="center"/>
        </w:trPr>
        <w:tc>
          <w:tcPr>
            <w:tcW w:w="1650" w:type="pct"/>
            <w:vAlign w:val="center"/>
          </w:tcPr>
          <w:p w14:paraId="1E1EA165"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Rito di seppellimento</w:t>
            </w:r>
          </w:p>
        </w:tc>
        <w:tc>
          <w:tcPr>
            <w:tcW w:w="3350" w:type="pct"/>
            <w:vAlign w:val="center"/>
          </w:tcPr>
          <w:p w14:paraId="18226334" w14:textId="6B6FE1CF" w:rsidR="001B5504" w:rsidRPr="00A40E82" w:rsidRDefault="001B5504" w:rsidP="00BF212E">
            <w:pPr>
              <w:jc w:val="center"/>
              <w:rPr>
                <w:rFonts w:ascii="Titillium Web" w:hAnsi="Titillium Web"/>
                <w:szCs w:val="24"/>
              </w:rPr>
            </w:pPr>
            <w:r w:rsidRPr="00A40E82">
              <w:rPr>
                <w:rFonts w:ascii="Titillium Web" w:hAnsi="Titillium Web"/>
                <w:szCs w:val="24"/>
              </w:rPr>
              <w:t>Cremazione</w:t>
            </w:r>
          </w:p>
        </w:tc>
      </w:tr>
      <w:tr w:rsidR="001B5504" w:rsidRPr="00A40E82" w14:paraId="31276AA4" w14:textId="77777777" w:rsidTr="001B5504">
        <w:trPr>
          <w:jc w:val="center"/>
        </w:trPr>
        <w:tc>
          <w:tcPr>
            <w:tcW w:w="1650" w:type="pct"/>
            <w:vAlign w:val="center"/>
          </w:tcPr>
          <w:p w14:paraId="33201D3D"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Struttura tomba</w:t>
            </w:r>
          </w:p>
        </w:tc>
        <w:tc>
          <w:tcPr>
            <w:tcW w:w="3350" w:type="pct"/>
            <w:vAlign w:val="center"/>
          </w:tcPr>
          <w:p w14:paraId="720E7EE7" w14:textId="3E36BEBB" w:rsidR="001B5504" w:rsidRPr="00A40E82" w:rsidRDefault="001B5504" w:rsidP="00BF212E">
            <w:pPr>
              <w:jc w:val="center"/>
              <w:rPr>
                <w:rFonts w:ascii="Titillium Web" w:hAnsi="Titillium Web"/>
                <w:szCs w:val="24"/>
              </w:rPr>
            </w:pPr>
            <w:r w:rsidRPr="00A40E82">
              <w:rPr>
                <w:rFonts w:ascii="Titillium Web" w:hAnsi="Titillium Web"/>
                <w:szCs w:val="24"/>
              </w:rPr>
              <w:t>Pozzetto semplice</w:t>
            </w:r>
          </w:p>
        </w:tc>
      </w:tr>
      <w:tr w:rsidR="001B5504" w:rsidRPr="00A40E82" w14:paraId="07337DA2" w14:textId="77777777" w:rsidTr="001B5504">
        <w:trPr>
          <w:jc w:val="center"/>
        </w:trPr>
        <w:tc>
          <w:tcPr>
            <w:tcW w:w="1650" w:type="pct"/>
            <w:vAlign w:val="center"/>
          </w:tcPr>
          <w:p w14:paraId="5032DFD5"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Profondità dal piano di campagna</w:t>
            </w:r>
          </w:p>
        </w:tc>
        <w:tc>
          <w:tcPr>
            <w:tcW w:w="3350" w:type="pct"/>
            <w:vAlign w:val="center"/>
          </w:tcPr>
          <w:p w14:paraId="4AC1C871" w14:textId="553FE193" w:rsidR="001B5504" w:rsidRPr="00A40E82" w:rsidRDefault="001B5504" w:rsidP="00BF212E">
            <w:pPr>
              <w:jc w:val="center"/>
              <w:rPr>
                <w:rFonts w:ascii="Titillium Web" w:hAnsi="Titillium Web"/>
                <w:szCs w:val="24"/>
              </w:rPr>
            </w:pPr>
            <w:r w:rsidRPr="00A40E82">
              <w:rPr>
                <w:rFonts w:ascii="Titillium Web" w:hAnsi="Titillium Web"/>
                <w:szCs w:val="24"/>
              </w:rPr>
              <w:t>0,60 m</w:t>
            </w:r>
          </w:p>
        </w:tc>
      </w:tr>
      <w:tr w:rsidR="001B5504" w:rsidRPr="00A40E82" w14:paraId="16F9D287" w14:textId="77777777" w:rsidTr="001B5504">
        <w:trPr>
          <w:jc w:val="center"/>
        </w:trPr>
        <w:tc>
          <w:tcPr>
            <w:tcW w:w="1650" w:type="pct"/>
            <w:vAlign w:val="center"/>
          </w:tcPr>
          <w:p w14:paraId="5D675683"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Dimensioni della sepoltura</w:t>
            </w:r>
          </w:p>
        </w:tc>
        <w:tc>
          <w:tcPr>
            <w:tcW w:w="3350" w:type="pct"/>
            <w:vAlign w:val="center"/>
          </w:tcPr>
          <w:p w14:paraId="606ED54D" w14:textId="0EBDB5D9" w:rsidR="001B5504" w:rsidRPr="00A40E82" w:rsidRDefault="001B5504" w:rsidP="00BF212E">
            <w:pPr>
              <w:jc w:val="center"/>
              <w:rPr>
                <w:rFonts w:ascii="Titillium Web" w:hAnsi="Titillium Web"/>
                <w:szCs w:val="24"/>
              </w:rPr>
            </w:pPr>
            <w:r w:rsidRPr="00A40E82">
              <w:rPr>
                <w:rFonts w:ascii="Titillium Web" w:hAnsi="Titillium Web"/>
                <w:szCs w:val="24"/>
              </w:rPr>
              <w:t>Dimensioni non registrate</w:t>
            </w:r>
          </w:p>
        </w:tc>
      </w:tr>
      <w:tr w:rsidR="001B5504" w:rsidRPr="00A40E82" w14:paraId="3DCDE8C5" w14:textId="77777777" w:rsidTr="001B5504">
        <w:trPr>
          <w:jc w:val="center"/>
        </w:trPr>
        <w:tc>
          <w:tcPr>
            <w:tcW w:w="1650" w:type="pct"/>
            <w:vAlign w:val="center"/>
          </w:tcPr>
          <w:p w14:paraId="090E3992"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Orientamento dello scheletro</w:t>
            </w:r>
          </w:p>
        </w:tc>
        <w:tc>
          <w:tcPr>
            <w:tcW w:w="3350" w:type="pct"/>
            <w:vAlign w:val="center"/>
          </w:tcPr>
          <w:p w14:paraId="01C3562F" w14:textId="1D21AC73" w:rsidR="001B5504" w:rsidRPr="00A40E82" w:rsidRDefault="00A40E82" w:rsidP="00BF212E">
            <w:pPr>
              <w:jc w:val="center"/>
              <w:rPr>
                <w:rFonts w:ascii="Titillium Web" w:hAnsi="Titillium Web"/>
                <w:szCs w:val="24"/>
              </w:rPr>
            </w:pPr>
            <w:r>
              <w:rPr>
                <w:rFonts w:ascii="Titillium Web" w:hAnsi="Titillium Web"/>
                <w:szCs w:val="24"/>
              </w:rPr>
              <w:t>/</w:t>
            </w:r>
          </w:p>
        </w:tc>
      </w:tr>
      <w:tr w:rsidR="001B5504" w:rsidRPr="00A40E82" w14:paraId="5978151F" w14:textId="77777777" w:rsidTr="001B5504">
        <w:trPr>
          <w:jc w:val="center"/>
        </w:trPr>
        <w:tc>
          <w:tcPr>
            <w:tcW w:w="1650" w:type="pct"/>
            <w:vAlign w:val="center"/>
          </w:tcPr>
          <w:p w14:paraId="1F67A10B"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Segnacolo</w:t>
            </w:r>
          </w:p>
        </w:tc>
        <w:tc>
          <w:tcPr>
            <w:tcW w:w="3350" w:type="pct"/>
            <w:vAlign w:val="center"/>
          </w:tcPr>
          <w:p w14:paraId="6599D472" w14:textId="4116176A" w:rsidR="001B5504" w:rsidRPr="00A40E82" w:rsidRDefault="00E014C2" w:rsidP="00BF212E">
            <w:pPr>
              <w:jc w:val="center"/>
              <w:rPr>
                <w:rFonts w:ascii="Titillium Web" w:hAnsi="Titillium Web"/>
                <w:szCs w:val="24"/>
              </w:rPr>
            </w:pPr>
            <w:r w:rsidRPr="00A40E82">
              <w:rPr>
                <w:rFonts w:ascii="Titillium Web" w:hAnsi="Titillium Web"/>
                <w:szCs w:val="24"/>
              </w:rPr>
              <w:t>/</w:t>
            </w:r>
          </w:p>
        </w:tc>
      </w:tr>
      <w:tr w:rsidR="001B5504" w:rsidRPr="00A40E82" w14:paraId="28E05F99" w14:textId="77777777" w:rsidTr="001B5504">
        <w:trPr>
          <w:jc w:val="center"/>
        </w:trPr>
        <w:tc>
          <w:tcPr>
            <w:tcW w:w="1650" w:type="pct"/>
            <w:vAlign w:val="center"/>
          </w:tcPr>
          <w:p w14:paraId="6ECF1BD4" w14:textId="77777777" w:rsidR="001B5504" w:rsidRPr="00A40E82" w:rsidRDefault="001B5504" w:rsidP="001F2833">
            <w:pPr>
              <w:spacing w:before="120" w:after="120"/>
              <w:jc w:val="center"/>
              <w:rPr>
                <w:rFonts w:ascii="Titillium Web" w:hAnsi="Titillium Web"/>
                <w:smallCaps/>
                <w:szCs w:val="24"/>
              </w:rPr>
            </w:pPr>
            <w:r w:rsidRPr="00A40E82">
              <w:rPr>
                <w:rFonts w:ascii="Titillium Web" w:hAnsi="Titillium Web"/>
                <w:smallCaps/>
                <w:szCs w:val="24"/>
              </w:rPr>
              <w:t>Giornale di scavo (GdS)</w:t>
            </w:r>
          </w:p>
        </w:tc>
        <w:tc>
          <w:tcPr>
            <w:tcW w:w="3350" w:type="pct"/>
            <w:vAlign w:val="center"/>
          </w:tcPr>
          <w:p w14:paraId="1A6B7E7E" w14:textId="5A4543B5" w:rsidR="001B5504" w:rsidRPr="00A40E82" w:rsidRDefault="001B5504" w:rsidP="00BF212E">
            <w:pPr>
              <w:jc w:val="left"/>
              <w:rPr>
                <w:rFonts w:ascii="Titillium Web" w:hAnsi="Titillium Web"/>
                <w:i/>
                <w:iCs/>
                <w:szCs w:val="24"/>
              </w:rPr>
            </w:pPr>
            <w:r w:rsidRPr="00A40E82">
              <w:rPr>
                <w:rFonts w:ascii="Titillium Web" w:hAnsi="Titillium Web"/>
                <w:i/>
                <w:iCs/>
                <w:szCs w:val="24"/>
              </w:rPr>
              <w:t>46 Tomba a cremazione –</w:t>
            </w:r>
            <w:r w:rsidRPr="00A40E82">
              <w:rPr>
                <w:rFonts w:ascii="Titillium Web" w:hAnsi="Titillium Web"/>
                <w:i/>
                <w:iCs/>
                <w:szCs w:val="24"/>
              </w:rPr>
              <w:br/>
              <w:t xml:space="preserve">A m. 0,60 di profondità giace un </w:t>
            </w:r>
            <w:proofErr w:type="spellStart"/>
            <w:r w:rsidRPr="00A40E82">
              <w:rPr>
                <w:rFonts w:ascii="Titillium Web" w:hAnsi="Titillium Web"/>
                <w:i/>
                <w:iCs/>
                <w:szCs w:val="24"/>
              </w:rPr>
              <w:t>dolietto</w:t>
            </w:r>
            <w:proofErr w:type="spellEnd"/>
            <w:r w:rsidRPr="00A40E82">
              <w:rPr>
                <w:rFonts w:ascii="Titillium Web" w:hAnsi="Titillium Web"/>
                <w:i/>
                <w:iCs/>
                <w:szCs w:val="24"/>
              </w:rPr>
              <w:t xml:space="preserve"> di terra rossastra di impasto grossolano, abbastanza ben conservato poiché è frammentato soltanto un poco nell’orlo.</w:t>
            </w:r>
            <w:r w:rsidRPr="00A40E82">
              <w:rPr>
                <w:rFonts w:ascii="Titillium Web" w:hAnsi="Titillium Web"/>
                <w:i/>
                <w:iCs/>
                <w:szCs w:val="24"/>
              </w:rPr>
              <w:br/>
              <w:t>Ha il ventre espanso, l’orlo breve, e nel rigonfio ha piccoli tubercoli in posto delle anse.</w:t>
            </w:r>
            <w:r w:rsidRPr="00A40E82">
              <w:rPr>
                <w:rFonts w:ascii="Titillium Web" w:hAnsi="Titillium Web"/>
                <w:i/>
                <w:iCs/>
                <w:szCs w:val="24"/>
              </w:rPr>
              <w:br/>
              <w:t xml:space="preserve">Dentro fra le ceneri non conteneva alcun oggetto, all’infuori di due frammenti di materia (fusa dal rogo? ferro?) che non si comprende bene se possano essere corpi di fibula di pasta vitrea, e di un piccolo piattello con </w:t>
            </w:r>
            <w:proofErr w:type="spellStart"/>
            <w:r w:rsidRPr="00A40E82">
              <w:rPr>
                <w:rFonts w:ascii="Titillium Web" w:hAnsi="Titillium Web"/>
                <w:i/>
                <w:iCs/>
                <w:szCs w:val="24"/>
              </w:rPr>
              <w:t>pieduccio</w:t>
            </w:r>
            <w:proofErr w:type="spellEnd"/>
            <w:r w:rsidRPr="00A40E82">
              <w:rPr>
                <w:rFonts w:ascii="Titillium Web" w:hAnsi="Titillium Web"/>
                <w:i/>
                <w:iCs/>
                <w:szCs w:val="24"/>
              </w:rPr>
              <w:t>, a vernice n.</w:t>
            </w:r>
            <w:r w:rsidRPr="00A40E82">
              <w:rPr>
                <w:rFonts w:ascii="Titillium Web" w:hAnsi="Titillium Web"/>
                <w:i/>
                <w:iCs/>
                <w:szCs w:val="24"/>
              </w:rPr>
              <w:br/>
              <w:t>La tomba distava m 4 dal n° 45 (a Sud)</w:t>
            </w:r>
          </w:p>
        </w:tc>
      </w:tr>
      <w:tr w:rsidR="001B5504" w:rsidRPr="00A40E82" w14:paraId="4CA65959" w14:textId="77777777" w:rsidTr="001B5504">
        <w:trPr>
          <w:jc w:val="center"/>
        </w:trPr>
        <w:tc>
          <w:tcPr>
            <w:tcW w:w="1650" w:type="pct"/>
            <w:vAlign w:val="center"/>
          </w:tcPr>
          <w:p w14:paraId="42C0306C"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Corredo</w:t>
            </w:r>
          </w:p>
        </w:tc>
        <w:tc>
          <w:tcPr>
            <w:tcW w:w="3350" w:type="pct"/>
            <w:vAlign w:val="center"/>
          </w:tcPr>
          <w:p w14:paraId="179D64DF" w14:textId="77777777" w:rsidR="00B90E34" w:rsidRPr="00A40E82" w:rsidRDefault="00B90E34" w:rsidP="00A40E82">
            <w:pPr>
              <w:jc w:val="center"/>
              <w:rPr>
                <w:rFonts w:ascii="Titillium Web" w:hAnsi="Titillium Web" w:cs="Times New Roman"/>
                <w:szCs w:val="24"/>
              </w:rPr>
            </w:pPr>
            <w:r w:rsidRPr="00A40E82">
              <w:rPr>
                <w:rFonts w:ascii="Titillium Web" w:hAnsi="Titillium Web" w:cs="Times New Roman"/>
                <w:szCs w:val="24"/>
              </w:rPr>
              <w:t>I resti cremati del defunto erano conservati in un’olla di produzione locale (n. 1), mentre il corredo, collocato all’esterno del cinerario, comprendeva un piattello su alto piede a v.n. locale (n. 2) e alcuni grumi di ferro, oggi perduti, probabilmente riconducibili a fibule con arco rivestito da elementi in pasta vitrea (n. 3*).</w:t>
            </w:r>
          </w:p>
          <w:p w14:paraId="1A65A8C3" w14:textId="77777777" w:rsidR="00B90E34" w:rsidRPr="00A40E82" w:rsidRDefault="00B90E34" w:rsidP="00A40E82">
            <w:pPr>
              <w:jc w:val="center"/>
              <w:rPr>
                <w:rFonts w:ascii="Titillium Web" w:hAnsi="Titillium Web" w:cs="Times New Roman"/>
                <w:szCs w:val="24"/>
              </w:rPr>
            </w:pPr>
            <w:r w:rsidRPr="00A40E82">
              <w:rPr>
                <w:rFonts w:ascii="Titillium Web" w:hAnsi="Titillium Web" w:cs="Times New Roman"/>
                <w:szCs w:val="24"/>
              </w:rPr>
              <w:t>1.</w:t>
            </w:r>
            <w:r w:rsidR="0055252E" w:rsidRPr="00A40E82">
              <w:rPr>
                <w:rFonts w:ascii="Titillium Web" w:hAnsi="Titillium Web" w:cs="Times New Roman"/>
                <w:szCs w:val="24"/>
              </w:rPr>
              <w:t xml:space="preserve"> Olla di produzione locale (IG 45807; ceramica grezza?)</w:t>
            </w:r>
          </w:p>
          <w:p w14:paraId="41F00B82" w14:textId="77777777" w:rsidR="0055252E" w:rsidRPr="00A40E82" w:rsidRDefault="0055252E" w:rsidP="00A40E82">
            <w:pPr>
              <w:jc w:val="center"/>
              <w:rPr>
                <w:rFonts w:ascii="Titillium Web" w:hAnsi="Titillium Web" w:cs="Times New Roman"/>
                <w:szCs w:val="24"/>
              </w:rPr>
            </w:pPr>
            <w:r w:rsidRPr="00A40E82">
              <w:rPr>
                <w:rFonts w:ascii="Titillium Web" w:hAnsi="Titillium Web" w:cs="Times New Roman"/>
                <w:szCs w:val="24"/>
              </w:rPr>
              <w:t>2. Piattello su alto piede di produzione locale (IG 45808; vernice nera)</w:t>
            </w:r>
          </w:p>
          <w:p w14:paraId="5EE32F9C" w14:textId="0111A633" w:rsidR="0055252E" w:rsidRPr="00A40E82" w:rsidRDefault="0055252E" w:rsidP="00A40E82">
            <w:pPr>
              <w:jc w:val="center"/>
              <w:rPr>
                <w:rFonts w:ascii="Titillium Web" w:hAnsi="Titillium Web" w:cs="Times New Roman"/>
                <w:szCs w:val="24"/>
              </w:rPr>
            </w:pPr>
            <w:r w:rsidRPr="00A40E82">
              <w:rPr>
                <w:rFonts w:ascii="Titillium Web" w:hAnsi="Titillium Web" w:cs="Times New Roman"/>
                <w:szCs w:val="24"/>
              </w:rPr>
              <w:t>3*. Grumi di</w:t>
            </w:r>
            <w:r w:rsidR="00A40E82" w:rsidRPr="00A40E82">
              <w:rPr>
                <w:rFonts w:ascii="Titillium Web" w:hAnsi="Titillium Web" w:cs="Times New Roman"/>
                <w:szCs w:val="24"/>
              </w:rPr>
              <w:t xml:space="preserve"> ferro</w:t>
            </w:r>
          </w:p>
        </w:tc>
      </w:tr>
      <w:tr w:rsidR="001B5504" w:rsidRPr="00A40E82" w14:paraId="520D9732" w14:textId="77777777" w:rsidTr="001B5504">
        <w:trPr>
          <w:jc w:val="center"/>
        </w:trPr>
        <w:tc>
          <w:tcPr>
            <w:tcW w:w="1650" w:type="pct"/>
            <w:vAlign w:val="center"/>
          </w:tcPr>
          <w:p w14:paraId="24BE97D5"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Posizione del corredo</w:t>
            </w:r>
          </w:p>
        </w:tc>
        <w:tc>
          <w:tcPr>
            <w:tcW w:w="3350" w:type="pct"/>
            <w:vAlign w:val="center"/>
          </w:tcPr>
          <w:p w14:paraId="3ED37A74" w14:textId="5B6D9E71" w:rsidR="001B5504" w:rsidRPr="00A40E82" w:rsidRDefault="00B90E34" w:rsidP="00BF212E">
            <w:pPr>
              <w:jc w:val="center"/>
              <w:rPr>
                <w:rFonts w:ascii="Titillium Web" w:hAnsi="Titillium Web"/>
                <w:szCs w:val="24"/>
              </w:rPr>
            </w:pPr>
            <w:r w:rsidRPr="00A40E82">
              <w:rPr>
                <w:rFonts w:ascii="Titillium Web" w:hAnsi="Titillium Web"/>
                <w:szCs w:val="24"/>
              </w:rPr>
              <w:t>Fuori il cinerario</w:t>
            </w:r>
          </w:p>
        </w:tc>
      </w:tr>
      <w:tr w:rsidR="001B5504" w:rsidRPr="00A40E82" w14:paraId="05ACB002" w14:textId="77777777" w:rsidTr="001B5504">
        <w:trPr>
          <w:jc w:val="center"/>
        </w:trPr>
        <w:tc>
          <w:tcPr>
            <w:tcW w:w="1650" w:type="pct"/>
            <w:vAlign w:val="center"/>
          </w:tcPr>
          <w:p w14:paraId="6E6E37F2"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Stato di conservazione e affidabilità del corredo</w:t>
            </w:r>
          </w:p>
        </w:tc>
        <w:tc>
          <w:tcPr>
            <w:tcW w:w="3350" w:type="pct"/>
            <w:vAlign w:val="center"/>
          </w:tcPr>
          <w:p w14:paraId="66E8A271" w14:textId="17642AFF" w:rsidR="001B5504" w:rsidRPr="00A40E82" w:rsidRDefault="00B90E34" w:rsidP="00BF212E">
            <w:pPr>
              <w:jc w:val="center"/>
              <w:rPr>
                <w:rFonts w:ascii="Titillium Web" w:hAnsi="Titillium Web"/>
                <w:szCs w:val="24"/>
              </w:rPr>
            </w:pPr>
            <w:r w:rsidRPr="00A40E82">
              <w:rPr>
                <w:rFonts w:ascii="Titillium Web" w:hAnsi="Titillium Web"/>
                <w:szCs w:val="24"/>
              </w:rPr>
              <w:t>/</w:t>
            </w:r>
          </w:p>
        </w:tc>
      </w:tr>
      <w:tr w:rsidR="001B5504" w:rsidRPr="00A40E82" w14:paraId="6E424069" w14:textId="77777777" w:rsidTr="001B5504">
        <w:trPr>
          <w:jc w:val="center"/>
        </w:trPr>
        <w:tc>
          <w:tcPr>
            <w:tcW w:w="1650" w:type="pct"/>
            <w:vAlign w:val="center"/>
          </w:tcPr>
          <w:p w14:paraId="4CE8DFDE"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lastRenderedPageBreak/>
              <w:t>Genere (legato all’analisi del corredo)</w:t>
            </w:r>
          </w:p>
        </w:tc>
        <w:tc>
          <w:tcPr>
            <w:tcW w:w="3350" w:type="pct"/>
            <w:vAlign w:val="center"/>
          </w:tcPr>
          <w:p w14:paraId="04E55D8B" w14:textId="15D5D226" w:rsidR="001B5504" w:rsidRPr="00A40E82" w:rsidRDefault="001B5504" w:rsidP="00BF212E">
            <w:pPr>
              <w:jc w:val="center"/>
              <w:rPr>
                <w:rFonts w:ascii="Titillium Web" w:hAnsi="Titillium Web"/>
                <w:szCs w:val="24"/>
              </w:rPr>
            </w:pPr>
            <w:r w:rsidRPr="00A40E82">
              <w:rPr>
                <w:rFonts w:ascii="Titillium Web" w:hAnsi="Titillium Web"/>
                <w:szCs w:val="24"/>
              </w:rPr>
              <w:t>Non determinabile</w:t>
            </w:r>
          </w:p>
        </w:tc>
      </w:tr>
      <w:tr w:rsidR="001B5504" w:rsidRPr="00A40E82" w14:paraId="7C1BF645" w14:textId="77777777" w:rsidTr="001B5504">
        <w:trPr>
          <w:jc w:val="center"/>
        </w:trPr>
        <w:tc>
          <w:tcPr>
            <w:tcW w:w="1650" w:type="pct"/>
            <w:vAlign w:val="center"/>
          </w:tcPr>
          <w:p w14:paraId="7EADEEB5"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Sesso (legato alle analisi antropologiche)</w:t>
            </w:r>
          </w:p>
        </w:tc>
        <w:tc>
          <w:tcPr>
            <w:tcW w:w="3350" w:type="pct"/>
            <w:vAlign w:val="center"/>
          </w:tcPr>
          <w:p w14:paraId="5D17FB99" w14:textId="46EBB367" w:rsidR="001B5504" w:rsidRPr="00A40E82" w:rsidRDefault="001B5504" w:rsidP="00BF212E">
            <w:pPr>
              <w:jc w:val="center"/>
              <w:rPr>
                <w:rFonts w:ascii="Titillium Web" w:hAnsi="Titillium Web"/>
                <w:szCs w:val="24"/>
              </w:rPr>
            </w:pPr>
            <w:r w:rsidRPr="00A40E82">
              <w:rPr>
                <w:rFonts w:ascii="Titillium Web" w:hAnsi="Titillium Web"/>
                <w:szCs w:val="24"/>
              </w:rPr>
              <w:t>Non determinabile</w:t>
            </w:r>
          </w:p>
        </w:tc>
      </w:tr>
      <w:tr w:rsidR="001B5504" w:rsidRPr="00A40E82" w14:paraId="498C4222" w14:textId="77777777" w:rsidTr="001B5504">
        <w:trPr>
          <w:jc w:val="center"/>
        </w:trPr>
        <w:tc>
          <w:tcPr>
            <w:tcW w:w="1650" w:type="pct"/>
            <w:vAlign w:val="center"/>
          </w:tcPr>
          <w:p w14:paraId="57C39F2A"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Classi di età</w:t>
            </w:r>
          </w:p>
        </w:tc>
        <w:tc>
          <w:tcPr>
            <w:tcW w:w="3350" w:type="pct"/>
            <w:vAlign w:val="center"/>
          </w:tcPr>
          <w:p w14:paraId="3FA8CB4E" w14:textId="5B4E47B7" w:rsidR="001B5504" w:rsidRPr="00A40E82" w:rsidRDefault="001B5504" w:rsidP="00BF212E">
            <w:pPr>
              <w:jc w:val="center"/>
              <w:rPr>
                <w:rFonts w:ascii="Titillium Web" w:hAnsi="Titillium Web"/>
                <w:szCs w:val="24"/>
              </w:rPr>
            </w:pPr>
            <w:r w:rsidRPr="00A40E82">
              <w:rPr>
                <w:rFonts w:ascii="Titillium Web" w:hAnsi="Titillium Web"/>
                <w:szCs w:val="24"/>
              </w:rPr>
              <w:t>Non determinabile</w:t>
            </w:r>
          </w:p>
        </w:tc>
      </w:tr>
      <w:tr w:rsidR="001B5504" w:rsidRPr="00A40E82" w14:paraId="698056B7" w14:textId="77777777" w:rsidTr="001B5504">
        <w:trPr>
          <w:jc w:val="center"/>
        </w:trPr>
        <w:tc>
          <w:tcPr>
            <w:tcW w:w="1650" w:type="pct"/>
            <w:vAlign w:val="center"/>
          </w:tcPr>
          <w:p w14:paraId="225E12C1"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Cronologia</w:t>
            </w:r>
          </w:p>
        </w:tc>
        <w:tc>
          <w:tcPr>
            <w:tcW w:w="3350" w:type="pct"/>
            <w:vAlign w:val="center"/>
          </w:tcPr>
          <w:p w14:paraId="440AB2F6" w14:textId="65221464" w:rsidR="001B5504" w:rsidRPr="00A40E82" w:rsidRDefault="001B5504" w:rsidP="00BF212E">
            <w:pPr>
              <w:jc w:val="center"/>
              <w:rPr>
                <w:rFonts w:ascii="Titillium Web" w:hAnsi="Titillium Web"/>
                <w:szCs w:val="24"/>
              </w:rPr>
            </w:pPr>
            <w:r w:rsidRPr="00A40E82">
              <w:rPr>
                <w:rFonts w:ascii="Titillium Web" w:hAnsi="Titillium Web"/>
                <w:szCs w:val="24"/>
              </w:rPr>
              <w:t>IV-III sec. a.C.</w:t>
            </w:r>
          </w:p>
        </w:tc>
      </w:tr>
      <w:tr w:rsidR="001B5504" w:rsidRPr="00A40E82" w14:paraId="3105DEE4" w14:textId="77777777" w:rsidTr="001B5504">
        <w:trPr>
          <w:jc w:val="center"/>
        </w:trPr>
        <w:tc>
          <w:tcPr>
            <w:tcW w:w="1650" w:type="pct"/>
            <w:vAlign w:val="center"/>
          </w:tcPr>
          <w:p w14:paraId="2DF8B210"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Bibliografia (della tomba)</w:t>
            </w:r>
          </w:p>
        </w:tc>
        <w:tc>
          <w:tcPr>
            <w:tcW w:w="3350" w:type="pct"/>
            <w:vAlign w:val="center"/>
          </w:tcPr>
          <w:p w14:paraId="38D3D101" w14:textId="64A99DF0" w:rsidR="001B5504" w:rsidRPr="00A40E82" w:rsidRDefault="00FF1512" w:rsidP="00BF212E">
            <w:pPr>
              <w:jc w:val="center"/>
              <w:rPr>
                <w:rFonts w:ascii="Titillium Web" w:hAnsi="Titillium Web"/>
                <w:szCs w:val="24"/>
              </w:rPr>
            </w:pPr>
            <w:r>
              <w:rPr>
                <w:rFonts w:ascii="Titillium Web" w:hAnsi="Titillium Web"/>
                <w:szCs w:val="24"/>
              </w:rPr>
              <w:t>/</w:t>
            </w:r>
          </w:p>
        </w:tc>
      </w:tr>
      <w:tr w:rsidR="001B5504" w:rsidRPr="00A40E82" w14:paraId="6887A6E3" w14:textId="77777777" w:rsidTr="001B5504">
        <w:trPr>
          <w:jc w:val="center"/>
        </w:trPr>
        <w:tc>
          <w:tcPr>
            <w:tcW w:w="1650" w:type="pct"/>
            <w:vAlign w:val="center"/>
          </w:tcPr>
          <w:p w14:paraId="4944AE43" w14:textId="77777777" w:rsidR="001B5504" w:rsidRPr="00A40E82" w:rsidRDefault="001B5504" w:rsidP="00BF212E">
            <w:pPr>
              <w:jc w:val="center"/>
              <w:rPr>
                <w:rFonts w:ascii="Titillium Web" w:hAnsi="Titillium Web"/>
                <w:smallCaps/>
                <w:szCs w:val="24"/>
              </w:rPr>
            </w:pPr>
            <w:r w:rsidRPr="00A40E82">
              <w:rPr>
                <w:rFonts w:ascii="Titillium Web" w:hAnsi="Titillium Web"/>
                <w:smallCaps/>
                <w:szCs w:val="24"/>
              </w:rPr>
              <w:t>Link alla pubblicazione</w:t>
            </w:r>
          </w:p>
        </w:tc>
        <w:tc>
          <w:tcPr>
            <w:tcW w:w="3350" w:type="pct"/>
            <w:vAlign w:val="center"/>
          </w:tcPr>
          <w:p w14:paraId="6ADE2D95" w14:textId="5EBDA977" w:rsidR="001B5504" w:rsidRPr="00A40E82"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230C8"/>
    <w:rsid w:val="001B5504"/>
    <w:rsid w:val="001F2833"/>
    <w:rsid w:val="0029024B"/>
    <w:rsid w:val="002977D7"/>
    <w:rsid w:val="002F1500"/>
    <w:rsid w:val="00472AF4"/>
    <w:rsid w:val="0055252E"/>
    <w:rsid w:val="005B5AFF"/>
    <w:rsid w:val="0068458A"/>
    <w:rsid w:val="00710B38"/>
    <w:rsid w:val="007145BC"/>
    <w:rsid w:val="007D54CD"/>
    <w:rsid w:val="00942E70"/>
    <w:rsid w:val="00943EAC"/>
    <w:rsid w:val="00950348"/>
    <w:rsid w:val="00975CA9"/>
    <w:rsid w:val="00997946"/>
    <w:rsid w:val="009E4922"/>
    <w:rsid w:val="00A40E82"/>
    <w:rsid w:val="00A52A70"/>
    <w:rsid w:val="00B165C4"/>
    <w:rsid w:val="00B86B2D"/>
    <w:rsid w:val="00B90E34"/>
    <w:rsid w:val="00BE2CB2"/>
    <w:rsid w:val="00BE63CC"/>
    <w:rsid w:val="00BF212E"/>
    <w:rsid w:val="00C21EE0"/>
    <w:rsid w:val="00C30F5C"/>
    <w:rsid w:val="00CA5CD4"/>
    <w:rsid w:val="00CC46E5"/>
    <w:rsid w:val="00D54723"/>
    <w:rsid w:val="00DB1668"/>
    <w:rsid w:val="00E014C2"/>
    <w:rsid w:val="00E0524C"/>
    <w:rsid w:val="00FF15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256</Words>
  <Characters>1460</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15</cp:revision>
  <dcterms:created xsi:type="dcterms:W3CDTF">2026-04-28T14:33:00Z</dcterms:created>
  <dcterms:modified xsi:type="dcterms:W3CDTF">2026-05-18T08:25:00Z</dcterms:modified>
</cp:coreProperties>
</file>