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749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1749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749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1749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1749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81749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749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749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749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32A5EB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T. 467 – a cremazione</w:t>
            </w:r>
          </w:p>
          <w:p w14:paraId="371414DE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Immediatamente a N del dosso E (E3)</w:t>
            </w:r>
          </w:p>
          <w:p w14:paraId="18716317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Proseguendo l’esplorazione di un tratto di dosso che l’anno scorso a causa la cattiva stagione (23 nov.) non fu terminato (a Nord del dosso E) si rinviene a m 32,20 dal canalino di scolo B, e a m. 2 dal limite nord della trincea e-c</w:t>
            </w:r>
          </w:p>
          <w:p w14:paraId="50F3260C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1 doliaccio di dimensione piuttosto voluminose, di impasto rozzo e male cotto.</w:t>
            </w:r>
          </w:p>
          <w:p w14:paraId="1B077925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È completamente marcito e non è possibile raccogliere neppure un frammento.</w:t>
            </w:r>
          </w:p>
          <w:p w14:paraId="08BF51AB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È di forma tozza che si avvicina a quelli Villanoviani. Nell’interno si rinvengono fra le ossa cremate:</w:t>
            </w:r>
          </w:p>
          <w:p w14:paraId="2EACBCB4" w14:textId="77777777" w:rsidR="00C85193" w:rsidRPr="0081749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49E">
              <w:rPr>
                <w:rFonts w:ascii="Titillium Web" w:hAnsi="Titillium Web"/>
                <w:i/>
                <w:iCs/>
                <w:szCs w:val="24"/>
              </w:rPr>
              <w:t>1 piccola idria a figure nere e graffita; la vernice cattiva si è in massima parte perduta e il vaso è in frammenti. La scena rappresenta un combattimento: a destra un gigante che sembra stia per calare un colpo di clava sopra la testa di un guerriero che si difende collo scudo e una spada? Il dolio poggiava a m. 1,60 e sembra doversi considerare sia per la fattura sia per la forma che per il contenuto (idria) una tomba antica più che i soliti dolietti superficiali.</w:t>
            </w:r>
          </w:p>
        </w:tc>
      </w:tr>
      <w:tr w:rsidR="0086297F" w:rsidRPr="0081749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1749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1749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1749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749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74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749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74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49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D005FB" w14:textId="77777777" w:rsidR="00C85193" w:rsidRPr="0081749E" w:rsidRDefault="00000000" w:rsidP="0081749E">
            <w:pPr>
              <w:jc w:val="center"/>
              <w:rPr>
                <w:rFonts w:ascii="Titillium Web" w:hAnsi="Titillium Web"/>
                <w:szCs w:val="24"/>
              </w:rPr>
            </w:pPr>
            <w:r w:rsidRPr="0081749E">
              <w:rPr>
                <w:rFonts w:ascii="Titillium Web" w:eastAsia="Titillium" w:hAnsi="Titillium Web" w:cs="Titillium"/>
                <w:smallCaps/>
                <w:szCs w:val="24"/>
              </w:rPr>
              <w:t>Romagnoli 2015; Romagnoli</w:t>
            </w:r>
            <w:r w:rsidRPr="0081749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1749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1749E">
              <w:rPr>
                <w:rFonts w:ascii="Titillium Web" w:eastAsia="Titillium" w:hAnsi="Titillium Web" w:cs="Titillium"/>
                <w:szCs w:val="24"/>
              </w:rPr>
              <w:t xml:space="preserve"> 2023, p. 91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3D5C"/>
    <w:rsid w:val="0081749E"/>
    <w:rsid w:val="0086297F"/>
    <w:rsid w:val="009E4922"/>
    <w:rsid w:val="00AB321D"/>
    <w:rsid w:val="00B165C4"/>
    <w:rsid w:val="00C21EE0"/>
    <w:rsid w:val="00C8519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2026-05-15T08:02:00Z</dcterms:modified>
</cp:coreProperties>
</file>