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BF7CD9" w14:textId="29CC0BD8" w:rsidR="0086297F" w:rsidRPr="00042C80" w:rsidRDefault="0086297F" w:rsidP="0086297F">
      <w:pPr>
        <w:jc w:val="center"/>
        <w:rPr>
          <w:rFonts w:ascii="Titillium Web" w:hAnsi="Titillium Web"/>
          <w:b/>
          <w:bCs/>
          <w:sz w:val="28"/>
          <w:szCs w:val="24"/>
        </w:rPr>
      </w:pPr>
      <w:r w:rsidRPr="00042C80">
        <w:rPr>
          <w:rFonts w:ascii="Titillium Web" w:hAnsi="Titillium Web"/>
          <w:b/>
          <w:bCs/>
          <w:sz w:val="28"/>
          <w:szCs w:val="24"/>
        </w:rPr>
        <w:t>Valle Trebba – Tomba 486</w:t>
      </w:r>
    </w:p>
    <w:tbl>
      <w:tblPr>
        <w:tblStyle w:val="Grigliatabella"/>
        <w:tblW w:w="5000" w:type="pct"/>
        <w:jc w:val="center"/>
        <w:tblLook w:val="04A0" w:firstRow="1" w:lastRow="0" w:firstColumn="1" w:lastColumn="0" w:noHBand="0" w:noVBand="1"/>
      </w:tblPr>
      <w:tblGrid>
        <w:gridCol w:w="2990"/>
        <w:gridCol w:w="6070"/>
      </w:tblGrid>
      <w:tr w:rsidR="0086297F" w:rsidRPr="002315C3" w14:paraId="69604347" w14:textId="77777777" w:rsidTr="002665C6">
        <w:trPr>
          <w:jc w:val="center"/>
        </w:trPr>
        <w:tc>
          <w:tcPr>
            <w:tcW w:w="1650" w:type="pct"/>
            <w:vAlign w:val="center"/>
          </w:tcPr>
          <w:p w14:paraId="59258D49" w14:textId="77777777" w:rsidR="0086297F" w:rsidRPr="002315C3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2315C3">
              <w:rPr>
                <w:rFonts w:ascii="Titillium Web" w:hAnsi="Titillium Web"/>
                <w:smallCaps/>
                <w:szCs w:val="24"/>
              </w:rPr>
              <w:t>Anno di rinvenimento</w:t>
            </w:r>
          </w:p>
        </w:tc>
        <w:tc>
          <w:tcPr>
            <w:tcW w:w="3350" w:type="pct"/>
            <w:vAlign w:val="center"/>
          </w:tcPr>
          <w:p w14:paraId="10AA1E7C" w14:textId="59BFE2EE" w:rsidR="0086297F" w:rsidRPr="002315C3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2315C3">
              <w:rPr>
                <w:rFonts w:ascii="Titillium Web" w:hAnsi="Titillium Web"/>
                <w:szCs w:val="24"/>
              </w:rPr>
              <w:t>1926</w:t>
            </w:r>
          </w:p>
        </w:tc>
      </w:tr>
      <w:tr w:rsidR="0086297F" w:rsidRPr="002315C3" w14:paraId="3B6B9C62" w14:textId="77777777" w:rsidTr="002665C6">
        <w:trPr>
          <w:jc w:val="center"/>
        </w:trPr>
        <w:tc>
          <w:tcPr>
            <w:tcW w:w="1650" w:type="pct"/>
            <w:vAlign w:val="center"/>
          </w:tcPr>
          <w:p w14:paraId="2D01D888" w14:textId="77777777" w:rsidR="0086297F" w:rsidRPr="002315C3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2315C3">
              <w:rPr>
                <w:rFonts w:ascii="Titillium Web" w:hAnsi="Titillium Web"/>
                <w:smallCaps/>
                <w:szCs w:val="24"/>
              </w:rPr>
              <w:t>Stato di conservazione della tomba</w:t>
            </w:r>
          </w:p>
        </w:tc>
        <w:tc>
          <w:tcPr>
            <w:tcW w:w="3350" w:type="pct"/>
            <w:vAlign w:val="center"/>
          </w:tcPr>
          <w:p w14:paraId="3ADC95CD" w14:textId="31719CCD" w:rsidR="0086297F" w:rsidRPr="002315C3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2315C3">
              <w:rPr>
                <w:rFonts w:ascii="Titillium Web" w:hAnsi="Titillium Web"/>
                <w:szCs w:val="24"/>
              </w:rPr>
              <w:t>Intatta</w:t>
            </w:r>
          </w:p>
        </w:tc>
      </w:tr>
      <w:tr w:rsidR="0086297F" w:rsidRPr="002315C3" w14:paraId="3D165E1E" w14:textId="77777777" w:rsidTr="002665C6">
        <w:trPr>
          <w:jc w:val="center"/>
        </w:trPr>
        <w:tc>
          <w:tcPr>
            <w:tcW w:w="1650" w:type="pct"/>
            <w:vAlign w:val="center"/>
          </w:tcPr>
          <w:p w14:paraId="2A5B3D4F" w14:textId="77777777" w:rsidR="0086297F" w:rsidRPr="002315C3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2315C3">
              <w:rPr>
                <w:rFonts w:ascii="Titillium Web" w:hAnsi="Titillium Web"/>
                <w:smallCaps/>
                <w:szCs w:val="24"/>
              </w:rPr>
              <w:t>Rito di seppellimento</w:t>
            </w:r>
          </w:p>
        </w:tc>
        <w:tc>
          <w:tcPr>
            <w:tcW w:w="3350" w:type="pct"/>
            <w:vAlign w:val="center"/>
          </w:tcPr>
          <w:p w14:paraId="094BD426" w14:textId="6E99443A" w:rsidR="0086297F" w:rsidRPr="002315C3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2315C3">
              <w:rPr>
                <w:rFonts w:ascii="Titillium Web" w:hAnsi="Titillium Web"/>
                <w:szCs w:val="24"/>
              </w:rPr>
              <w:t>cremazione</w:t>
            </w:r>
          </w:p>
        </w:tc>
      </w:tr>
      <w:tr w:rsidR="0086297F" w:rsidRPr="002315C3" w14:paraId="44CADBCB" w14:textId="77777777" w:rsidTr="002665C6">
        <w:trPr>
          <w:jc w:val="center"/>
        </w:trPr>
        <w:tc>
          <w:tcPr>
            <w:tcW w:w="1650" w:type="pct"/>
            <w:vAlign w:val="center"/>
          </w:tcPr>
          <w:p w14:paraId="1E25741A" w14:textId="77777777" w:rsidR="0086297F" w:rsidRPr="002315C3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2315C3">
              <w:rPr>
                <w:rFonts w:ascii="Titillium Web" w:hAnsi="Titillium Web"/>
                <w:smallCaps/>
                <w:szCs w:val="24"/>
              </w:rPr>
              <w:t>Struttura tomba</w:t>
            </w:r>
          </w:p>
        </w:tc>
        <w:tc>
          <w:tcPr>
            <w:tcW w:w="3350" w:type="pct"/>
            <w:vAlign w:val="center"/>
          </w:tcPr>
          <w:p w14:paraId="1DE3BCB3" w14:textId="08DB6A85" w:rsidR="0086297F" w:rsidRPr="002315C3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2315C3">
              <w:rPr>
                <w:rFonts w:ascii="Titillium Web" w:hAnsi="Titillium Web"/>
                <w:szCs w:val="24"/>
              </w:rPr>
              <w:t>pozzetto semplice</w:t>
            </w:r>
          </w:p>
        </w:tc>
      </w:tr>
      <w:tr w:rsidR="0086297F" w:rsidRPr="002315C3" w14:paraId="47E1F943" w14:textId="77777777" w:rsidTr="002665C6">
        <w:trPr>
          <w:jc w:val="center"/>
        </w:trPr>
        <w:tc>
          <w:tcPr>
            <w:tcW w:w="1650" w:type="pct"/>
            <w:vAlign w:val="center"/>
          </w:tcPr>
          <w:p w14:paraId="355EE080" w14:textId="77777777" w:rsidR="0086297F" w:rsidRPr="002315C3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2315C3">
              <w:rPr>
                <w:rFonts w:ascii="Titillium Web" w:hAnsi="Titillium Web"/>
                <w:smallCaps/>
                <w:szCs w:val="24"/>
              </w:rPr>
              <w:t xml:space="preserve">Profondità dal piano di campagna </w:t>
            </w:r>
          </w:p>
        </w:tc>
        <w:tc>
          <w:tcPr>
            <w:tcW w:w="3350" w:type="pct"/>
            <w:vAlign w:val="center"/>
          </w:tcPr>
          <w:p w14:paraId="13D75B9B" w14:textId="6492371F" w:rsidR="0086297F" w:rsidRPr="002315C3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2315C3">
              <w:rPr>
                <w:rFonts w:ascii="Titillium Web" w:hAnsi="Titillium Web"/>
                <w:szCs w:val="24"/>
              </w:rPr>
              <w:t>1,2 m</w:t>
            </w:r>
          </w:p>
        </w:tc>
      </w:tr>
      <w:tr w:rsidR="0086297F" w:rsidRPr="002315C3" w14:paraId="75BC79FE" w14:textId="77777777" w:rsidTr="002665C6">
        <w:trPr>
          <w:jc w:val="center"/>
        </w:trPr>
        <w:tc>
          <w:tcPr>
            <w:tcW w:w="1650" w:type="pct"/>
            <w:vAlign w:val="center"/>
          </w:tcPr>
          <w:p w14:paraId="432462C5" w14:textId="77777777" w:rsidR="0086297F" w:rsidRPr="002315C3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2315C3">
              <w:rPr>
                <w:rFonts w:ascii="Titillium Web" w:hAnsi="Titillium Web"/>
                <w:smallCaps/>
                <w:szCs w:val="24"/>
              </w:rPr>
              <w:t>Dimensioni della sepoltura</w:t>
            </w:r>
          </w:p>
        </w:tc>
        <w:tc>
          <w:tcPr>
            <w:tcW w:w="3350" w:type="pct"/>
            <w:vAlign w:val="center"/>
          </w:tcPr>
          <w:p w14:paraId="65EDFAD4" w14:textId="5859930D" w:rsidR="0086297F" w:rsidRPr="002315C3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2315C3">
              <w:rPr>
                <w:rFonts w:ascii="Titillium Web" w:hAnsi="Titillium Web"/>
                <w:szCs w:val="24"/>
              </w:rPr>
              <w:t>Dimensioni non registrate</w:t>
            </w:r>
          </w:p>
        </w:tc>
      </w:tr>
      <w:tr w:rsidR="0086297F" w:rsidRPr="002315C3" w14:paraId="35E5C09E" w14:textId="77777777" w:rsidTr="002665C6">
        <w:trPr>
          <w:jc w:val="center"/>
        </w:trPr>
        <w:tc>
          <w:tcPr>
            <w:tcW w:w="1650" w:type="pct"/>
            <w:vAlign w:val="center"/>
          </w:tcPr>
          <w:p w14:paraId="5AA10374" w14:textId="77777777" w:rsidR="0086297F" w:rsidRPr="002315C3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2315C3">
              <w:rPr>
                <w:rFonts w:ascii="Titillium Web" w:hAnsi="Titillium Web"/>
                <w:smallCaps/>
                <w:szCs w:val="24"/>
              </w:rPr>
              <w:t>Orientamento dello scheletro</w:t>
            </w:r>
          </w:p>
        </w:tc>
        <w:tc>
          <w:tcPr>
            <w:tcW w:w="3350" w:type="pct"/>
            <w:vAlign w:val="center"/>
          </w:tcPr>
          <w:p w14:paraId="6E0E4E7B" w14:textId="7F6B3E0C" w:rsidR="0086297F" w:rsidRPr="002315C3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2315C3">
              <w:rPr>
                <w:rFonts w:ascii="Titillium Web" w:hAnsi="Titillium Web"/>
                <w:szCs w:val="24"/>
              </w:rPr>
              <w:t>/</w:t>
            </w:r>
          </w:p>
        </w:tc>
      </w:tr>
      <w:tr w:rsidR="0086297F" w:rsidRPr="002315C3" w14:paraId="71236441" w14:textId="77777777" w:rsidTr="002665C6">
        <w:trPr>
          <w:jc w:val="center"/>
        </w:trPr>
        <w:tc>
          <w:tcPr>
            <w:tcW w:w="1650" w:type="pct"/>
            <w:vAlign w:val="center"/>
          </w:tcPr>
          <w:p w14:paraId="4A1B31A8" w14:textId="77777777" w:rsidR="0086297F" w:rsidRPr="002315C3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2315C3">
              <w:rPr>
                <w:rFonts w:ascii="Titillium Web" w:hAnsi="Titillium Web"/>
                <w:smallCaps/>
                <w:szCs w:val="24"/>
              </w:rPr>
              <w:t>Segnacolo</w:t>
            </w:r>
          </w:p>
        </w:tc>
        <w:tc>
          <w:tcPr>
            <w:tcW w:w="3350" w:type="pct"/>
            <w:vAlign w:val="center"/>
          </w:tcPr>
          <w:p w14:paraId="104CE615" w14:textId="50385AE1" w:rsidR="0086297F" w:rsidRPr="002315C3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2315C3">
              <w:rPr>
                <w:rFonts w:ascii="Titillium Web" w:hAnsi="Titillium Web"/>
                <w:szCs w:val="24"/>
              </w:rPr>
              <w:t>/</w:t>
            </w:r>
          </w:p>
        </w:tc>
      </w:tr>
      <w:tr w:rsidR="0086297F" w:rsidRPr="002315C3" w14:paraId="6D6CBA71" w14:textId="77777777" w:rsidTr="002665C6">
        <w:trPr>
          <w:jc w:val="center"/>
        </w:trPr>
        <w:tc>
          <w:tcPr>
            <w:tcW w:w="1650" w:type="pct"/>
            <w:vAlign w:val="center"/>
          </w:tcPr>
          <w:p w14:paraId="75CA0D64" w14:textId="77777777" w:rsidR="0086297F" w:rsidRPr="002315C3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2315C3">
              <w:rPr>
                <w:rFonts w:ascii="Titillium Web" w:hAnsi="Titillium Web"/>
                <w:smallCaps/>
                <w:szCs w:val="24"/>
              </w:rPr>
              <w:t>Giornale di scavo</w:t>
            </w:r>
          </w:p>
        </w:tc>
        <w:tc>
          <w:tcPr>
            <w:tcW w:w="3350" w:type="pct"/>
            <w:vAlign w:val="center"/>
          </w:tcPr>
          <w:p w14:paraId="0A605D8E" w14:textId="77777777" w:rsidR="003E5FE8" w:rsidRPr="002315C3" w:rsidRDefault="00910C5D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2315C3">
              <w:rPr>
                <w:rFonts w:ascii="Titillium Web" w:hAnsi="Titillium Web"/>
                <w:i/>
                <w:iCs/>
                <w:szCs w:val="24"/>
              </w:rPr>
              <w:t>Tomba 486 – a cremazione</w:t>
            </w:r>
          </w:p>
          <w:p w14:paraId="2DF1CDE1" w14:textId="655CFD0A" w:rsidR="003E5FE8" w:rsidRPr="002315C3" w:rsidRDefault="00910C5D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2315C3">
              <w:rPr>
                <w:rFonts w:ascii="Titillium Web" w:hAnsi="Titillium Web"/>
                <w:i/>
                <w:iCs/>
                <w:szCs w:val="24"/>
              </w:rPr>
              <w:t>A m 28,70 dallo scolo B, a m 3,40 dal canalino nord del dosso E,</w:t>
            </w:r>
            <w:r w:rsidR="002315C3">
              <w:rPr>
                <w:rFonts w:ascii="Titillium Web" w:hAnsi="Titillium Web"/>
                <w:i/>
                <w:iCs/>
                <w:szCs w:val="24"/>
              </w:rPr>
              <w:t xml:space="preserve"> </w:t>
            </w:r>
            <w:r w:rsidRPr="002315C3">
              <w:rPr>
                <w:rFonts w:ascii="Titillium Web" w:hAnsi="Titillium Web"/>
                <w:i/>
                <w:iCs/>
                <w:szCs w:val="24"/>
              </w:rPr>
              <w:t>a m 1,20 di profondità poggiava</w:t>
            </w:r>
          </w:p>
          <w:p w14:paraId="3073FA8B" w14:textId="77777777" w:rsidR="003E5FE8" w:rsidRPr="002315C3" w:rsidRDefault="00910C5D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2315C3">
              <w:rPr>
                <w:rFonts w:ascii="Titillium Web" w:hAnsi="Titillium Web"/>
                <w:i/>
                <w:iCs/>
                <w:szCs w:val="24"/>
              </w:rPr>
              <w:t>1 dolio piuttosto grande a cordoni, frammentato nella parte superiore e coperto da una ciotola di argilla di colore cenerognola in frammenti, a forma di grande scodella con basso piede e largo orlo piatto.</w:t>
            </w:r>
          </w:p>
          <w:p w14:paraId="6C5F7D1C" w14:textId="77777777" w:rsidR="003E5FE8" w:rsidRPr="002315C3" w:rsidRDefault="00910C5D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2315C3">
              <w:rPr>
                <w:rFonts w:ascii="Titillium Web" w:hAnsi="Titillium Web"/>
                <w:i/>
                <w:iCs/>
                <w:szCs w:val="24"/>
              </w:rPr>
              <w:t>Fra le ceneri del dolio si rinvenne:</w:t>
            </w:r>
          </w:p>
          <w:p w14:paraId="264F9A7A" w14:textId="77777777" w:rsidR="003E5FE8" w:rsidRPr="002315C3" w:rsidRDefault="00910C5D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2315C3">
              <w:rPr>
                <w:rFonts w:ascii="Titillium Web" w:hAnsi="Titillium Web"/>
                <w:i/>
                <w:iCs/>
                <w:szCs w:val="24"/>
              </w:rPr>
              <w:t>1 oinocoe a bocca trilobata (molto larga nel beccuccio) con disegni graffiti e dipinti a figure nere con tracce di color paonazzo (?).</w:t>
            </w:r>
          </w:p>
          <w:p w14:paraId="56E6052C" w14:textId="77777777" w:rsidR="003E5FE8" w:rsidRPr="002315C3" w:rsidRDefault="00910C5D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2315C3">
              <w:rPr>
                <w:rFonts w:ascii="Titillium Web" w:hAnsi="Titillium Web"/>
                <w:i/>
                <w:iCs/>
                <w:szCs w:val="24"/>
              </w:rPr>
              <w:t>Dalle figure ben poco si distingue poiché la cattiva vernice è quasi per intero scomparsa e restano soltanto le tracce del disegno grafito.</w:t>
            </w:r>
          </w:p>
          <w:p w14:paraId="5161546E" w14:textId="77777777" w:rsidR="003E5FE8" w:rsidRPr="002315C3" w:rsidRDefault="00910C5D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2315C3">
              <w:rPr>
                <w:rFonts w:ascii="Titillium Web" w:hAnsi="Titillium Web"/>
                <w:i/>
                <w:iCs/>
                <w:szCs w:val="24"/>
              </w:rPr>
              <w:t>È intero e misura 0,18 di altezza.</w:t>
            </w:r>
          </w:p>
          <w:p w14:paraId="1DF0EBEF" w14:textId="77777777" w:rsidR="003E5FE8" w:rsidRPr="002315C3" w:rsidRDefault="00910C5D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2315C3">
              <w:rPr>
                <w:rFonts w:ascii="Titillium Web" w:hAnsi="Titillium Web"/>
                <w:i/>
                <w:iCs/>
                <w:szCs w:val="24"/>
              </w:rPr>
              <w:t>Il dolio fu rotto dagli scavatori abusivi, che furono sorpresi e messi in fuga dal corpo di</w:t>
            </w:r>
          </w:p>
          <w:p w14:paraId="3E97FFD9" w14:textId="77777777" w:rsidR="003E5FE8" w:rsidRPr="002315C3" w:rsidRDefault="00910C5D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2315C3">
              <w:rPr>
                <w:rFonts w:ascii="Titillium Web" w:hAnsi="Titillium Web"/>
                <w:i/>
                <w:iCs/>
                <w:szCs w:val="24"/>
              </w:rPr>
              <w:t xml:space="preserve">guardia. M Tomasi la sera del 25 </w:t>
            </w:r>
            <w:proofErr w:type="gramStart"/>
            <w:r w:rsidRPr="002315C3">
              <w:rPr>
                <w:rFonts w:ascii="Titillium Web" w:hAnsi="Titillium Web"/>
                <w:i/>
                <w:iCs/>
                <w:szCs w:val="24"/>
              </w:rPr>
              <w:t>Maggio</w:t>
            </w:r>
            <w:proofErr w:type="gramEnd"/>
            <w:r w:rsidRPr="002315C3">
              <w:rPr>
                <w:rFonts w:ascii="Titillium Web" w:hAnsi="Titillium Web"/>
                <w:i/>
                <w:iCs/>
                <w:szCs w:val="24"/>
              </w:rPr>
              <w:t>.</w:t>
            </w:r>
          </w:p>
        </w:tc>
      </w:tr>
      <w:tr w:rsidR="0086297F" w:rsidRPr="002315C3" w14:paraId="1429C2F3" w14:textId="77777777" w:rsidTr="002665C6">
        <w:trPr>
          <w:jc w:val="center"/>
        </w:trPr>
        <w:tc>
          <w:tcPr>
            <w:tcW w:w="1650" w:type="pct"/>
            <w:vAlign w:val="center"/>
          </w:tcPr>
          <w:p w14:paraId="7F398080" w14:textId="77777777" w:rsidR="0086297F" w:rsidRPr="002315C3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2315C3">
              <w:rPr>
                <w:rFonts w:ascii="Titillium Web" w:hAnsi="Titillium Web"/>
                <w:smallCaps/>
                <w:szCs w:val="24"/>
              </w:rPr>
              <w:t>Posizione del corredo</w:t>
            </w:r>
          </w:p>
        </w:tc>
        <w:tc>
          <w:tcPr>
            <w:tcW w:w="3350" w:type="pct"/>
            <w:vAlign w:val="center"/>
          </w:tcPr>
          <w:p w14:paraId="5C03ADA7" w14:textId="7BF3AD8D" w:rsidR="0086297F" w:rsidRPr="002315C3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2315C3">
              <w:rPr>
                <w:rFonts w:ascii="Titillium Web" w:hAnsi="Titillium Web"/>
                <w:szCs w:val="24"/>
              </w:rPr>
              <w:t>Dentro il cinerario</w:t>
            </w:r>
          </w:p>
        </w:tc>
      </w:tr>
      <w:tr w:rsidR="0086297F" w:rsidRPr="002315C3" w14:paraId="71A0E4AF" w14:textId="77777777" w:rsidTr="002665C6">
        <w:trPr>
          <w:jc w:val="center"/>
        </w:trPr>
        <w:tc>
          <w:tcPr>
            <w:tcW w:w="1650" w:type="pct"/>
            <w:vAlign w:val="center"/>
          </w:tcPr>
          <w:p w14:paraId="2128B19B" w14:textId="77777777" w:rsidR="0086297F" w:rsidRPr="002315C3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2315C3">
              <w:rPr>
                <w:rFonts w:ascii="Titillium Web" w:hAnsi="Titillium Web"/>
                <w:smallCaps/>
                <w:szCs w:val="24"/>
              </w:rPr>
              <w:t>Genere (legato all’analisi del corredo)</w:t>
            </w:r>
          </w:p>
        </w:tc>
        <w:tc>
          <w:tcPr>
            <w:tcW w:w="3350" w:type="pct"/>
            <w:vAlign w:val="center"/>
          </w:tcPr>
          <w:p w14:paraId="31324C2B" w14:textId="4E55E405" w:rsidR="0086297F" w:rsidRPr="002315C3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2315C3">
              <w:rPr>
                <w:rFonts w:ascii="Titillium Web" w:hAnsi="Titillium Web"/>
                <w:szCs w:val="24"/>
              </w:rPr>
              <w:t>Non determinabile</w:t>
            </w:r>
          </w:p>
        </w:tc>
      </w:tr>
      <w:tr w:rsidR="0086297F" w:rsidRPr="002315C3" w14:paraId="17633947" w14:textId="77777777" w:rsidTr="002665C6">
        <w:trPr>
          <w:jc w:val="center"/>
        </w:trPr>
        <w:tc>
          <w:tcPr>
            <w:tcW w:w="1650" w:type="pct"/>
            <w:vAlign w:val="center"/>
          </w:tcPr>
          <w:p w14:paraId="44721053" w14:textId="77777777" w:rsidR="0086297F" w:rsidRPr="002315C3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2315C3">
              <w:rPr>
                <w:rFonts w:ascii="Titillium Web" w:hAnsi="Titillium Web"/>
                <w:smallCaps/>
                <w:szCs w:val="24"/>
              </w:rPr>
              <w:t>Sesso (legato alle analisi antropologiche)</w:t>
            </w:r>
          </w:p>
        </w:tc>
        <w:tc>
          <w:tcPr>
            <w:tcW w:w="3350" w:type="pct"/>
            <w:vAlign w:val="center"/>
          </w:tcPr>
          <w:p w14:paraId="66E918A4" w14:textId="50197FF0" w:rsidR="0086297F" w:rsidRPr="002315C3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2315C3">
              <w:rPr>
                <w:rFonts w:ascii="Titillium Web" w:hAnsi="Titillium Web"/>
                <w:szCs w:val="24"/>
              </w:rPr>
              <w:t>Non determinabile</w:t>
            </w:r>
          </w:p>
        </w:tc>
      </w:tr>
      <w:tr w:rsidR="0086297F" w:rsidRPr="002315C3" w14:paraId="0588946D" w14:textId="77777777" w:rsidTr="002665C6">
        <w:trPr>
          <w:jc w:val="center"/>
        </w:trPr>
        <w:tc>
          <w:tcPr>
            <w:tcW w:w="1650" w:type="pct"/>
            <w:vAlign w:val="center"/>
          </w:tcPr>
          <w:p w14:paraId="54990945" w14:textId="77777777" w:rsidR="0086297F" w:rsidRPr="002315C3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2315C3">
              <w:rPr>
                <w:rFonts w:ascii="Titillium Web" w:hAnsi="Titillium Web"/>
                <w:smallCaps/>
                <w:szCs w:val="24"/>
              </w:rPr>
              <w:t>Classi di età</w:t>
            </w:r>
          </w:p>
        </w:tc>
        <w:tc>
          <w:tcPr>
            <w:tcW w:w="3350" w:type="pct"/>
            <w:vAlign w:val="center"/>
          </w:tcPr>
          <w:p w14:paraId="0E0589EA" w14:textId="7D4DF825" w:rsidR="0086297F" w:rsidRPr="002315C3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2315C3">
              <w:rPr>
                <w:rFonts w:ascii="Titillium Web" w:hAnsi="Titillium Web"/>
                <w:szCs w:val="24"/>
              </w:rPr>
              <w:t>Non determinabile</w:t>
            </w:r>
          </w:p>
        </w:tc>
      </w:tr>
      <w:tr w:rsidR="0086297F" w:rsidRPr="002315C3" w14:paraId="1FFA88A1" w14:textId="77777777" w:rsidTr="002665C6">
        <w:trPr>
          <w:jc w:val="center"/>
        </w:trPr>
        <w:tc>
          <w:tcPr>
            <w:tcW w:w="1650" w:type="pct"/>
            <w:vAlign w:val="center"/>
          </w:tcPr>
          <w:p w14:paraId="63B2D8D6" w14:textId="77777777" w:rsidR="0086297F" w:rsidRPr="002315C3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2315C3">
              <w:rPr>
                <w:rFonts w:ascii="Titillium Web" w:hAnsi="Titillium Web"/>
                <w:smallCaps/>
                <w:szCs w:val="24"/>
              </w:rPr>
              <w:t>Bibliografia essenziale</w:t>
            </w:r>
          </w:p>
        </w:tc>
        <w:tc>
          <w:tcPr>
            <w:tcW w:w="3350" w:type="pct"/>
            <w:vAlign w:val="center"/>
          </w:tcPr>
          <w:p w14:paraId="683F015F" w14:textId="77777777" w:rsidR="003E5FE8" w:rsidRPr="002315C3" w:rsidRDefault="00910C5D" w:rsidP="002315C3">
            <w:pPr>
              <w:jc w:val="center"/>
              <w:rPr>
                <w:rFonts w:ascii="Titillium Web" w:hAnsi="Titillium Web"/>
                <w:szCs w:val="24"/>
              </w:rPr>
            </w:pPr>
            <w:r w:rsidRPr="002315C3">
              <w:rPr>
                <w:rFonts w:ascii="Titillium Web" w:eastAsia="Titillium" w:hAnsi="Titillium Web" w:cs="Titillium"/>
                <w:smallCaps/>
                <w:szCs w:val="24"/>
              </w:rPr>
              <w:t>Romagnoli</w:t>
            </w:r>
            <w:r w:rsidRPr="002315C3">
              <w:rPr>
                <w:rFonts w:ascii="Titillium Web" w:eastAsia="Titillium" w:hAnsi="Titillium Web" w:cs="Titillium"/>
                <w:szCs w:val="24"/>
              </w:rPr>
              <w:t xml:space="preserve"> 2015</w:t>
            </w:r>
          </w:p>
        </w:tc>
      </w:tr>
    </w:tbl>
    <w:p w14:paraId="13D523A5" w14:textId="77777777" w:rsidR="00472AF4" w:rsidRPr="00042C80" w:rsidRDefault="00472AF4" w:rsidP="002315C3">
      <w:pPr>
        <w:rPr>
          <w:rFonts w:ascii="Titillium Web" w:hAnsi="Titillium Web"/>
        </w:rPr>
      </w:pPr>
    </w:p>
    <w:sectPr w:rsidR="00472AF4" w:rsidRPr="00042C80" w:rsidSect="005B5AFF">
      <w:pgSz w:w="11906" w:h="16838"/>
      <w:pgMar w:top="1418" w:right="1418" w:bottom="1418" w:left="1418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tillium Web">
    <w:panose1 w:val="00000500000000000000"/>
    <w:charset w:val="00"/>
    <w:family w:val="auto"/>
    <w:pitch w:val="variable"/>
    <w:sig w:usb0="00000007" w:usb1="00000001" w:usb2="00000000" w:usb3="00000000" w:csb0="00000093" w:csb1="00000000"/>
  </w:font>
  <w:font w:name="Titillium">
    <w:altName w:val="Cambria"/>
    <w:panose1 w:val="00000000000000000000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283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1AF8"/>
    <w:rsid w:val="00042C80"/>
    <w:rsid w:val="000D72F4"/>
    <w:rsid w:val="001C17CC"/>
    <w:rsid w:val="002315C3"/>
    <w:rsid w:val="002977D7"/>
    <w:rsid w:val="003E5FE8"/>
    <w:rsid w:val="00472AF4"/>
    <w:rsid w:val="00551AF8"/>
    <w:rsid w:val="005B5AFF"/>
    <w:rsid w:val="006162A4"/>
    <w:rsid w:val="006346F7"/>
    <w:rsid w:val="006D6EFB"/>
    <w:rsid w:val="007145BC"/>
    <w:rsid w:val="0086297F"/>
    <w:rsid w:val="009A1A61"/>
    <w:rsid w:val="009E4922"/>
    <w:rsid w:val="00AB321D"/>
    <w:rsid w:val="00B165C4"/>
    <w:rsid w:val="00C21EE0"/>
    <w:rsid w:val="00D900AB"/>
    <w:rsid w:val="00D936E8"/>
    <w:rsid w:val="00E246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1E896DF"/>
  <w15:chartTrackingRefBased/>
  <w15:docId w15:val="{EFE63D76-3A16-4E4D-89D8-9FB43B65CA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kern w:val="2"/>
        <w:sz w:val="24"/>
        <w:szCs w:val="22"/>
        <w:lang w:val="it-IT" w:eastAsia="en-US" w:bidi="ar-SA"/>
        <w14:ligatures w14:val="standardContextual"/>
      </w:rPr>
    </w:rPrDefault>
    <w:pPrDefault>
      <w:pPr>
        <w:spacing w:after="160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sid w:val="0086297F"/>
  </w:style>
  <w:style w:type="paragraph" w:styleId="Titolo1">
    <w:name w:val="heading 1"/>
    <w:basedOn w:val="Normale"/>
    <w:next w:val="Normale"/>
    <w:link w:val="Titolo1Carattere"/>
    <w:uiPriority w:val="9"/>
    <w:qFormat/>
    <w:rsid w:val="00551AF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551AF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551AF8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551AF8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551AF8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551AF8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551AF8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551AF8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551AF8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551AF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551AF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551AF8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551AF8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551AF8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551AF8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551AF8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551AF8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551AF8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551AF8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551AF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551AF8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551AF8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551AF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551AF8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551AF8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551AF8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551AF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551AF8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551AF8"/>
    <w:rPr>
      <w:b/>
      <w:bCs/>
      <w:smallCaps/>
      <w:color w:val="0F4761" w:themeColor="accent1" w:themeShade="BF"/>
      <w:spacing w:val="5"/>
    </w:rPr>
  </w:style>
  <w:style w:type="table" w:styleId="Grigliatabella">
    <w:name w:val="Table Grid"/>
    <w:basedOn w:val="Tabellanormale"/>
    <w:uiPriority w:val="39"/>
    <w:rsid w:val="0086297F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204</Words>
  <Characters>1166</Characters>
  <Application>Microsoft Office Word</Application>
  <DocSecurity>0</DocSecurity>
  <Lines>9</Lines>
  <Paragraphs>2</Paragraphs>
  <ScaleCrop>false</ScaleCrop>
  <Company/>
  <LinksUpToDate>false</LinksUpToDate>
  <CharactersWithSpaces>1368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martina castoldi</dc:creator>
  <cp:keywords/>
  <dc:description/>
  <cp:lastModifiedBy>martina castoldi</cp:lastModifiedBy>
  <cp:revision>7</cp:revision>
  <dcterms:created xsi:type="dcterms:W3CDTF">2026-04-30T12:42:00Z</dcterms:created>
  <dcterms:modified xsi:type="dcterms:W3CDTF">2026-05-15T07:47:00Z</dcterms:modified>
</cp:coreProperties>
</file>