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506.1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2172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2172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2172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2172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2172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D2172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2172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172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2172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24C857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Tomba 506 – a cremazione</w:t>
            </w:r>
          </w:p>
          <w:p w14:paraId="3C2681DB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A m. 29,10 dal B, a m. 8,00 dal limite Nord dello scavo attuale, a m. 1,30 di profondità poggia:</w:t>
            </w:r>
          </w:p>
          <w:p w14:paraId="2C5076A4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1 grosso dolio e panciuto, con orlo a labbro largo e grosso, e con un cordone che gira attorno alla spalla e 2 cordoni nel ventre con 4 piccoli rilievi a modo di cornetti – si disfece al momento di raccoglierlo</w:t>
            </w:r>
          </w:p>
          <w:p w14:paraId="25E44161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Il dolio è d’impasto rozzo e male cotto: è tutto rotto e marcito. Ha una ingubbiatura sulla superficie di colore giallastro. È alto m. 0,78 -</w:t>
            </w:r>
          </w:p>
          <w:p w14:paraId="40ACEADF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All’esterno del dolio, dalla parte di pon. (alti quanto la bocca del dolio) appariscono poggiati presso la parte stessa del dolio, la metà inferiore di una piccola kelebe a figure rosse e</w:t>
            </w:r>
          </w:p>
          <w:p w14:paraId="44BB5589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2 oinocoi a bocca trilobata a vern. n., frammentati</w:t>
            </w:r>
          </w:p>
          <w:p w14:paraId="61CD5184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I frammenti della parte superiore della kelebe in parte si rinvennero sparsi tutti all’ingiro presso il dolio.</w:t>
            </w:r>
          </w:p>
          <w:p w14:paraId="1CBD329C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In fondo al dolio si rinvennero le ossa combuste (poche)</w:t>
            </w:r>
          </w:p>
          <w:p w14:paraId="214B559A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Sopra alle ossa combuste poggiavano poche ossicine umane e un cranio a pareti sottilissime tutto marcito.</w:t>
            </w:r>
          </w:p>
          <w:p w14:paraId="621FC0FF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Sopra le ossa umane non combuste:</w:t>
            </w:r>
          </w:p>
          <w:p w14:paraId="773BDE7C" w14:textId="77777777" w:rsidR="0053192E" w:rsidRPr="00D2172A" w:rsidRDefault="00DA13F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172A">
              <w:rPr>
                <w:rFonts w:ascii="Titillium Web" w:hAnsi="Titillium Web"/>
                <w:i/>
                <w:iCs/>
                <w:szCs w:val="24"/>
              </w:rPr>
              <w:t>1 tazza a vernice nera, piede alto, leggermente frammentata –</w:t>
            </w:r>
          </w:p>
        </w:tc>
      </w:tr>
      <w:tr w:rsidR="0086297F" w:rsidRPr="00D2172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D2172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172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172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D2172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2172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172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C2E4B41" w:rsidR="0086297F" w:rsidRPr="00D2172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172A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D2172A">
              <w:rPr>
                <w:rFonts w:ascii="Titillium Web" w:eastAsia="Titillium" w:hAnsi="Titillium Web" w:cs="Titillium"/>
                <w:szCs w:val="24"/>
              </w:rPr>
              <w:t xml:space="preserve"> 1981</w:t>
            </w:r>
            <w:r w:rsidR="00DA56D0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D2172A">
              <w:rPr>
                <w:rFonts w:ascii="Titillium Web" w:eastAsia="Titillium" w:hAnsi="Titillium Web" w:cs="Titillium"/>
                <w:szCs w:val="24"/>
              </w:rPr>
              <w:t>p. 87</w:t>
            </w:r>
            <w:r w:rsidR="00DA56D0">
              <w:rPr>
                <w:rFonts w:ascii="Titillium Web" w:eastAsia="Titillium" w:hAnsi="Titillium Web" w:cs="Titillium"/>
                <w:szCs w:val="24"/>
              </w:rPr>
              <w:t>,</w:t>
            </w:r>
            <w:r w:rsidRPr="00D2172A">
              <w:rPr>
                <w:rFonts w:ascii="Titillium Web" w:eastAsia="Titillium" w:hAnsi="Titillium Web" w:cs="Titillium"/>
                <w:szCs w:val="24"/>
              </w:rPr>
              <w:t xml:space="preserve"> n. 26; </w:t>
            </w:r>
            <w:r w:rsidRPr="00D2172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2172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72AF4"/>
    <w:rsid w:val="0053192E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A1F35"/>
    <w:rsid w:val="00D2172A"/>
    <w:rsid w:val="00D900AB"/>
    <w:rsid w:val="00D936E8"/>
    <w:rsid w:val="00DA56D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2026-05-18T15:24:00Z</dcterms:modified>
</cp:coreProperties>
</file>