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509</w:t>
      </w:r>
    </w:p>
    <w:tbl>
      <w:tblPr>
        <w:tblStyle w:val="Grigliatabella"/>
        <w:tblW w:w="5000" w:type="pct"/>
        <w:jc w:val="center"/>
        <w:tblLook w:val="04A0" w:firstRow="1" w:lastRow="0" w:firstColumn="1" w:lastColumn="0" w:noHBand="0" w:noVBand="1"/>
      </w:tblPr>
      <w:tblGrid>
        <w:gridCol w:w="2990"/>
        <w:gridCol w:w="6070"/>
      </w:tblGrid>
      <w:tr w:rsidR="0086297F" w:rsidRPr="002B018C" w14:paraId="69604347" w14:textId="77777777" w:rsidTr="002665C6">
        <w:trPr>
          <w:jc w:val="center"/>
        </w:trPr>
        <w:tc>
          <w:tcPr>
            <w:tcW w:w="1650" w:type="pct"/>
            <w:vAlign w:val="center"/>
          </w:tcPr>
          <w:p w14:paraId="59258D49"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Anno di rinvenimento</w:t>
            </w:r>
          </w:p>
        </w:tc>
        <w:tc>
          <w:tcPr>
            <w:tcW w:w="3350" w:type="pct"/>
            <w:vAlign w:val="center"/>
          </w:tcPr>
          <w:p w14:paraId="10AA1E7C" w14:textId="59BFE2EE" w:rsidR="0086297F" w:rsidRPr="002B018C" w:rsidRDefault="0086297F" w:rsidP="002665C6">
            <w:pPr>
              <w:jc w:val="center"/>
              <w:rPr>
                <w:rFonts w:ascii="Titillium Web" w:hAnsi="Titillium Web"/>
                <w:szCs w:val="24"/>
              </w:rPr>
            </w:pPr>
            <w:r w:rsidRPr="002B018C">
              <w:rPr>
                <w:rFonts w:ascii="Titillium Web" w:hAnsi="Titillium Web"/>
                <w:szCs w:val="24"/>
              </w:rPr>
              <w:t>1926</w:t>
            </w:r>
          </w:p>
        </w:tc>
      </w:tr>
      <w:tr w:rsidR="0086297F" w:rsidRPr="002B018C" w14:paraId="3B6B9C62" w14:textId="77777777" w:rsidTr="002665C6">
        <w:trPr>
          <w:jc w:val="center"/>
        </w:trPr>
        <w:tc>
          <w:tcPr>
            <w:tcW w:w="1650" w:type="pct"/>
            <w:vAlign w:val="center"/>
          </w:tcPr>
          <w:p w14:paraId="2D01D888"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Stato di conservazione della tomba</w:t>
            </w:r>
          </w:p>
        </w:tc>
        <w:tc>
          <w:tcPr>
            <w:tcW w:w="3350" w:type="pct"/>
            <w:vAlign w:val="center"/>
          </w:tcPr>
          <w:p w14:paraId="3ADC95CD" w14:textId="31719CCD" w:rsidR="0086297F" w:rsidRPr="002B018C" w:rsidRDefault="0086297F" w:rsidP="002665C6">
            <w:pPr>
              <w:jc w:val="center"/>
              <w:rPr>
                <w:rFonts w:ascii="Titillium Web" w:hAnsi="Titillium Web"/>
                <w:szCs w:val="24"/>
              </w:rPr>
            </w:pPr>
            <w:r w:rsidRPr="002B018C">
              <w:rPr>
                <w:rFonts w:ascii="Titillium Web" w:hAnsi="Titillium Web"/>
                <w:szCs w:val="24"/>
              </w:rPr>
              <w:t>Intatta</w:t>
            </w:r>
          </w:p>
        </w:tc>
      </w:tr>
      <w:tr w:rsidR="0086297F" w:rsidRPr="002B018C" w14:paraId="3D165E1E" w14:textId="77777777" w:rsidTr="002665C6">
        <w:trPr>
          <w:jc w:val="center"/>
        </w:trPr>
        <w:tc>
          <w:tcPr>
            <w:tcW w:w="1650" w:type="pct"/>
            <w:vAlign w:val="center"/>
          </w:tcPr>
          <w:p w14:paraId="2A5B3D4F"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Rito di seppellimento</w:t>
            </w:r>
          </w:p>
        </w:tc>
        <w:tc>
          <w:tcPr>
            <w:tcW w:w="3350" w:type="pct"/>
            <w:vAlign w:val="center"/>
          </w:tcPr>
          <w:p w14:paraId="094BD426" w14:textId="6E99443A" w:rsidR="0086297F" w:rsidRPr="002B018C" w:rsidRDefault="0086297F" w:rsidP="002665C6">
            <w:pPr>
              <w:jc w:val="center"/>
              <w:rPr>
                <w:rFonts w:ascii="Titillium Web" w:hAnsi="Titillium Web"/>
                <w:szCs w:val="24"/>
              </w:rPr>
            </w:pPr>
            <w:r w:rsidRPr="002B018C">
              <w:rPr>
                <w:rFonts w:ascii="Titillium Web" w:hAnsi="Titillium Web"/>
                <w:szCs w:val="24"/>
              </w:rPr>
              <w:t>cremazione</w:t>
            </w:r>
          </w:p>
        </w:tc>
      </w:tr>
      <w:tr w:rsidR="0086297F" w:rsidRPr="002B018C" w14:paraId="44CADBCB" w14:textId="77777777" w:rsidTr="002665C6">
        <w:trPr>
          <w:jc w:val="center"/>
        </w:trPr>
        <w:tc>
          <w:tcPr>
            <w:tcW w:w="1650" w:type="pct"/>
            <w:vAlign w:val="center"/>
          </w:tcPr>
          <w:p w14:paraId="1E25741A"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Struttura tomba</w:t>
            </w:r>
          </w:p>
        </w:tc>
        <w:tc>
          <w:tcPr>
            <w:tcW w:w="3350" w:type="pct"/>
            <w:vAlign w:val="center"/>
          </w:tcPr>
          <w:p w14:paraId="1DE3BCB3" w14:textId="08DB6A85" w:rsidR="0086297F" w:rsidRPr="002B018C" w:rsidRDefault="0086297F" w:rsidP="002665C6">
            <w:pPr>
              <w:jc w:val="center"/>
              <w:rPr>
                <w:rFonts w:ascii="Titillium Web" w:hAnsi="Titillium Web"/>
                <w:szCs w:val="24"/>
              </w:rPr>
            </w:pPr>
            <w:r w:rsidRPr="002B018C">
              <w:rPr>
                <w:rFonts w:ascii="Titillium Web" w:hAnsi="Titillium Web"/>
                <w:szCs w:val="24"/>
              </w:rPr>
              <w:t>pozzetto semplice</w:t>
            </w:r>
          </w:p>
        </w:tc>
      </w:tr>
      <w:tr w:rsidR="0086297F" w:rsidRPr="002B018C" w14:paraId="47E1F943" w14:textId="77777777" w:rsidTr="002665C6">
        <w:trPr>
          <w:jc w:val="center"/>
        </w:trPr>
        <w:tc>
          <w:tcPr>
            <w:tcW w:w="1650" w:type="pct"/>
            <w:vAlign w:val="center"/>
          </w:tcPr>
          <w:p w14:paraId="355EE080"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 xml:space="preserve">Profondità dal piano di campagna </w:t>
            </w:r>
          </w:p>
        </w:tc>
        <w:tc>
          <w:tcPr>
            <w:tcW w:w="3350" w:type="pct"/>
            <w:vAlign w:val="center"/>
          </w:tcPr>
          <w:p w14:paraId="13D75B9B" w14:textId="6492371F" w:rsidR="0086297F" w:rsidRPr="002B018C" w:rsidRDefault="0086297F" w:rsidP="002665C6">
            <w:pPr>
              <w:jc w:val="center"/>
              <w:rPr>
                <w:rFonts w:ascii="Titillium Web" w:hAnsi="Titillium Web"/>
                <w:szCs w:val="24"/>
              </w:rPr>
            </w:pPr>
            <w:r w:rsidRPr="002B018C">
              <w:rPr>
                <w:rFonts w:ascii="Titillium Web" w:hAnsi="Titillium Web"/>
                <w:szCs w:val="24"/>
              </w:rPr>
              <w:t>1,15 m</w:t>
            </w:r>
          </w:p>
        </w:tc>
      </w:tr>
      <w:tr w:rsidR="0086297F" w:rsidRPr="002B018C" w14:paraId="75BC79FE" w14:textId="77777777" w:rsidTr="002665C6">
        <w:trPr>
          <w:jc w:val="center"/>
        </w:trPr>
        <w:tc>
          <w:tcPr>
            <w:tcW w:w="1650" w:type="pct"/>
            <w:vAlign w:val="center"/>
          </w:tcPr>
          <w:p w14:paraId="432462C5"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Dimensioni della sepoltura</w:t>
            </w:r>
          </w:p>
        </w:tc>
        <w:tc>
          <w:tcPr>
            <w:tcW w:w="3350" w:type="pct"/>
            <w:vAlign w:val="center"/>
          </w:tcPr>
          <w:p w14:paraId="65EDFAD4" w14:textId="5859930D" w:rsidR="0086297F" w:rsidRPr="002B018C" w:rsidRDefault="0086297F" w:rsidP="002665C6">
            <w:pPr>
              <w:jc w:val="center"/>
              <w:rPr>
                <w:rFonts w:ascii="Titillium Web" w:hAnsi="Titillium Web"/>
                <w:szCs w:val="24"/>
              </w:rPr>
            </w:pPr>
            <w:r w:rsidRPr="002B018C">
              <w:rPr>
                <w:rFonts w:ascii="Titillium Web" w:hAnsi="Titillium Web"/>
                <w:szCs w:val="24"/>
              </w:rPr>
              <w:t>Dimensioni non registrate</w:t>
            </w:r>
          </w:p>
        </w:tc>
      </w:tr>
      <w:tr w:rsidR="0086297F" w:rsidRPr="002B018C" w14:paraId="35E5C09E" w14:textId="77777777" w:rsidTr="002665C6">
        <w:trPr>
          <w:jc w:val="center"/>
        </w:trPr>
        <w:tc>
          <w:tcPr>
            <w:tcW w:w="1650" w:type="pct"/>
            <w:vAlign w:val="center"/>
          </w:tcPr>
          <w:p w14:paraId="5AA10374"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Orientamento dello scheletro</w:t>
            </w:r>
          </w:p>
        </w:tc>
        <w:tc>
          <w:tcPr>
            <w:tcW w:w="3350" w:type="pct"/>
            <w:vAlign w:val="center"/>
          </w:tcPr>
          <w:p w14:paraId="6E0E4E7B" w14:textId="7F6B3E0C" w:rsidR="0086297F" w:rsidRPr="002B018C" w:rsidRDefault="0086297F" w:rsidP="002665C6">
            <w:pPr>
              <w:jc w:val="center"/>
              <w:rPr>
                <w:rFonts w:ascii="Titillium Web" w:hAnsi="Titillium Web"/>
                <w:szCs w:val="24"/>
              </w:rPr>
            </w:pPr>
            <w:r w:rsidRPr="002B018C">
              <w:rPr>
                <w:rFonts w:ascii="Titillium Web" w:hAnsi="Titillium Web"/>
                <w:szCs w:val="24"/>
              </w:rPr>
              <w:t>/</w:t>
            </w:r>
          </w:p>
        </w:tc>
      </w:tr>
      <w:tr w:rsidR="0086297F" w:rsidRPr="002B018C" w14:paraId="71236441" w14:textId="77777777" w:rsidTr="002665C6">
        <w:trPr>
          <w:jc w:val="center"/>
        </w:trPr>
        <w:tc>
          <w:tcPr>
            <w:tcW w:w="1650" w:type="pct"/>
            <w:vAlign w:val="center"/>
          </w:tcPr>
          <w:p w14:paraId="4A1B31A8"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Segnacolo</w:t>
            </w:r>
          </w:p>
        </w:tc>
        <w:tc>
          <w:tcPr>
            <w:tcW w:w="3350" w:type="pct"/>
            <w:vAlign w:val="center"/>
          </w:tcPr>
          <w:p w14:paraId="104CE615" w14:textId="50385AE1" w:rsidR="0086297F" w:rsidRPr="002B018C" w:rsidRDefault="0086297F" w:rsidP="002665C6">
            <w:pPr>
              <w:jc w:val="center"/>
              <w:rPr>
                <w:rFonts w:ascii="Titillium Web" w:hAnsi="Titillium Web"/>
                <w:szCs w:val="24"/>
              </w:rPr>
            </w:pPr>
            <w:r w:rsidRPr="002B018C">
              <w:rPr>
                <w:rFonts w:ascii="Titillium Web" w:hAnsi="Titillium Web"/>
                <w:szCs w:val="24"/>
              </w:rPr>
              <w:t>/</w:t>
            </w:r>
          </w:p>
        </w:tc>
      </w:tr>
      <w:tr w:rsidR="0086297F" w:rsidRPr="002B018C" w14:paraId="6D6CBA71" w14:textId="77777777" w:rsidTr="002665C6">
        <w:trPr>
          <w:jc w:val="center"/>
        </w:trPr>
        <w:tc>
          <w:tcPr>
            <w:tcW w:w="1650" w:type="pct"/>
            <w:vAlign w:val="center"/>
          </w:tcPr>
          <w:p w14:paraId="75CA0D64"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Giornale di scavo</w:t>
            </w:r>
          </w:p>
        </w:tc>
        <w:tc>
          <w:tcPr>
            <w:tcW w:w="3350" w:type="pct"/>
            <w:vAlign w:val="center"/>
          </w:tcPr>
          <w:p w14:paraId="752E5A73" w14:textId="77777777" w:rsidR="00FD6AD3" w:rsidRPr="002B018C" w:rsidRDefault="00D43B9D">
            <w:pPr>
              <w:rPr>
                <w:rFonts w:ascii="Titillium Web" w:hAnsi="Titillium Web"/>
                <w:i/>
                <w:iCs/>
                <w:szCs w:val="24"/>
              </w:rPr>
            </w:pPr>
            <w:r w:rsidRPr="002B018C">
              <w:rPr>
                <w:rFonts w:ascii="Titillium Web" w:hAnsi="Titillium Web"/>
                <w:i/>
                <w:iCs/>
                <w:szCs w:val="24"/>
              </w:rPr>
              <w:t>Tomba 509 – a cremazione</w:t>
            </w:r>
          </w:p>
          <w:p w14:paraId="0E50F553" w14:textId="77777777" w:rsidR="00FD6AD3" w:rsidRPr="002B018C" w:rsidRDefault="00D43B9D">
            <w:pPr>
              <w:rPr>
                <w:rFonts w:ascii="Titillium Web" w:hAnsi="Titillium Web"/>
                <w:i/>
                <w:iCs/>
                <w:szCs w:val="24"/>
              </w:rPr>
            </w:pPr>
            <w:r w:rsidRPr="002B018C">
              <w:rPr>
                <w:rFonts w:ascii="Titillium Web" w:hAnsi="Titillium Web"/>
                <w:i/>
                <w:iCs/>
                <w:szCs w:val="24"/>
              </w:rPr>
              <w:t>A m. 13,20 dal B, a m. 1,70 dal limite Nord dello scavo attuale, profondità di m. 1,15</w:t>
            </w:r>
          </w:p>
          <w:p w14:paraId="52E03B41" w14:textId="77777777" w:rsidR="00FD6AD3" w:rsidRPr="002B018C" w:rsidRDefault="00D43B9D">
            <w:pPr>
              <w:rPr>
                <w:rFonts w:ascii="Titillium Web" w:hAnsi="Titillium Web"/>
                <w:i/>
                <w:iCs/>
                <w:szCs w:val="24"/>
              </w:rPr>
            </w:pPr>
            <w:r w:rsidRPr="002B018C">
              <w:rPr>
                <w:rFonts w:ascii="Titillium Web" w:hAnsi="Titillium Web"/>
                <w:i/>
                <w:iCs/>
                <w:szCs w:val="24"/>
              </w:rPr>
              <w:t>poggiava</w:t>
            </w:r>
          </w:p>
          <w:p w14:paraId="7F4E1F1A" w14:textId="77777777" w:rsidR="00FD6AD3" w:rsidRPr="002B018C" w:rsidRDefault="00D43B9D">
            <w:pPr>
              <w:rPr>
                <w:rFonts w:ascii="Titillium Web" w:hAnsi="Titillium Web"/>
                <w:i/>
                <w:iCs/>
                <w:szCs w:val="24"/>
              </w:rPr>
            </w:pPr>
            <w:r w:rsidRPr="002B018C">
              <w:rPr>
                <w:rFonts w:ascii="Titillium Web" w:hAnsi="Titillium Web"/>
                <w:i/>
                <w:iCs/>
                <w:szCs w:val="24"/>
              </w:rPr>
              <w:t>1 dolietto di forma ovoidale, di argilla color cenere scuro (almeno al momento dello scavo appariva tale, forse la conseguenza del nero di cui era pregna tutta la terra intorno) leggermente crinato, il quale conteneva le ossa combuste e fra queste si rinvennero</w:t>
            </w:r>
          </w:p>
          <w:p w14:paraId="730C1743" w14:textId="77777777" w:rsidR="00FD6AD3" w:rsidRPr="002B018C" w:rsidRDefault="00D43B9D">
            <w:pPr>
              <w:rPr>
                <w:rFonts w:ascii="Titillium Web" w:hAnsi="Titillium Web"/>
                <w:i/>
                <w:iCs/>
                <w:szCs w:val="24"/>
              </w:rPr>
            </w:pPr>
            <w:proofErr w:type="gramStart"/>
            <w:r w:rsidRPr="002B018C">
              <w:rPr>
                <w:rFonts w:ascii="Titillium Web" w:hAnsi="Titillium Web"/>
                <w:i/>
                <w:iCs/>
                <w:szCs w:val="24"/>
              </w:rPr>
              <w:t>2</w:t>
            </w:r>
            <w:proofErr w:type="gramEnd"/>
            <w:r w:rsidRPr="002B018C">
              <w:rPr>
                <w:rFonts w:ascii="Titillium Web" w:hAnsi="Titillium Web"/>
                <w:i/>
                <w:iCs/>
                <w:szCs w:val="24"/>
              </w:rPr>
              <w:t xml:space="preserve"> cannelli di osso, cilindrici, e il frammento di un terzo, tutto dentellato</w:t>
            </w:r>
          </w:p>
          <w:p w14:paraId="31E5580E" w14:textId="77777777" w:rsidR="00FD6AD3" w:rsidRPr="002B018C" w:rsidRDefault="00D43B9D">
            <w:pPr>
              <w:rPr>
                <w:rFonts w:ascii="Titillium Web" w:hAnsi="Titillium Web"/>
                <w:i/>
                <w:iCs/>
                <w:szCs w:val="24"/>
              </w:rPr>
            </w:pPr>
            <w:r w:rsidRPr="002B018C">
              <w:rPr>
                <w:rFonts w:ascii="Titillium Web" w:hAnsi="Titillium Web"/>
                <w:i/>
                <w:iCs/>
                <w:szCs w:val="24"/>
              </w:rPr>
              <w:t>il dolietto era coperto da</w:t>
            </w:r>
          </w:p>
          <w:p w14:paraId="466FEE85" w14:textId="77777777" w:rsidR="00FD6AD3" w:rsidRPr="002B018C" w:rsidRDefault="00D43B9D">
            <w:pPr>
              <w:rPr>
                <w:rFonts w:ascii="Titillium Web" w:hAnsi="Titillium Web"/>
                <w:i/>
                <w:iCs/>
                <w:szCs w:val="24"/>
              </w:rPr>
            </w:pPr>
            <w:r w:rsidRPr="002B018C">
              <w:rPr>
                <w:rFonts w:ascii="Titillium Web" w:hAnsi="Titillium Web"/>
                <w:i/>
                <w:iCs/>
                <w:szCs w:val="24"/>
              </w:rPr>
              <w:t>1 ciotola di argilla color giallastra, tutta in pezzi</w:t>
            </w:r>
          </w:p>
        </w:tc>
      </w:tr>
      <w:tr w:rsidR="0086297F" w:rsidRPr="002B018C" w14:paraId="1429C2F3" w14:textId="77777777" w:rsidTr="002665C6">
        <w:trPr>
          <w:jc w:val="center"/>
        </w:trPr>
        <w:tc>
          <w:tcPr>
            <w:tcW w:w="1650" w:type="pct"/>
            <w:vAlign w:val="center"/>
          </w:tcPr>
          <w:p w14:paraId="7F398080"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Posizione del corredo</w:t>
            </w:r>
          </w:p>
        </w:tc>
        <w:tc>
          <w:tcPr>
            <w:tcW w:w="3350" w:type="pct"/>
            <w:vAlign w:val="center"/>
          </w:tcPr>
          <w:p w14:paraId="5C03ADA7" w14:textId="7BF3AD8D" w:rsidR="0086297F" w:rsidRPr="002B018C" w:rsidRDefault="0086297F" w:rsidP="002665C6">
            <w:pPr>
              <w:jc w:val="center"/>
              <w:rPr>
                <w:rFonts w:ascii="Titillium Web" w:hAnsi="Titillium Web"/>
                <w:szCs w:val="24"/>
              </w:rPr>
            </w:pPr>
            <w:r w:rsidRPr="002B018C">
              <w:rPr>
                <w:rFonts w:ascii="Titillium Web" w:hAnsi="Titillium Web"/>
                <w:szCs w:val="24"/>
              </w:rPr>
              <w:t>Dentro il cinerario</w:t>
            </w:r>
          </w:p>
        </w:tc>
      </w:tr>
      <w:tr w:rsidR="0086297F" w:rsidRPr="002B018C" w14:paraId="71A0E4AF" w14:textId="77777777" w:rsidTr="002665C6">
        <w:trPr>
          <w:jc w:val="center"/>
        </w:trPr>
        <w:tc>
          <w:tcPr>
            <w:tcW w:w="1650" w:type="pct"/>
            <w:vAlign w:val="center"/>
          </w:tcPr>
          <w:p w14:paraId="2128B19B"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Genere (legato all’analisi del corredo)</w:t>
            </w:r>
          </w:p>
        </w:tc>
        <w:tc>
          <w:tcPr>
            <w:tcW w:w="3350" w:type="pct"/>
            <w:vAlign w:val="center"/>
          </w:tcPr>
          <w:p w14:paraId="31324C2B" w14:textId="4E55E405" w:rsidR="0086297F" w:rsidRPr="002B018C" w:rsidRDefault="0086297F" w:rsidP="002665C6">
            <w:pPr>
              <w:jc w:val="center"/>
              <w:rPr>
                <w:rFonts w:ascii="Titillium Web" w:hAnsi="Titillium Web"/>
                <w:szCs w:val="24"/>
              </w:rPr>
            </w:pPr>
            <w:r w:rsidRPr="002B018C">
              <w:rPr>
                <w:rFonts w:ascii="Titillium Web" w:hAnsi="Titillium Web"/>
                <w:szCs w:val="24"/>
              </w:rPr>
              <w:t>Femminile</w:t>
            </w:r>
          </w:p>
        </w:tc>
      </w:tr>
      <w:tr w:rsidR="0086297F" w:rsidRPr="002B018C" w14:paraId="17633947" w14:textId="77777777" w:rsidTr="002665C6">
        <w:trPr>
          <w:jc w:val="center"/>
        </w:trPr>
        <w:tc>
          <w:tcPr>
            <w:tcW w:w="1650" w:type="pct"/>
            <w:vAlign w:val="center"/>
          </w:tcPr>
          <w:p w14:paraId="44721053"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Sesso (legato alle analisi antropologiche)</w:t>
            </w:r>
          </w:p>
        </w:tc>
        <w:tc>
          <w:tcPr>
            <w:tcW w:w="3350" w:type="pct"/>
            <w:vAlign w:val="center"/>
          </w:tcPr>
          <w:p w14:paraId="66E918A4" w14:textId="50197FF0" w:rsidR="0086297F" w:rsidRPr="002B018C" w:rsidRDefault="0086297F" w:rsidP="002665C6">
            <w:pPr>
              <w:jc w:val="center"/>
              <w:rPr>
                <w:rFonts w:ascii="Titillium Web" w:hAnsi="Titillium Web"/>
                <w:szCs w:val="24"/>
              </w:rPr>
            </w:pPr>
            <w:r w:rsidRPr="002B018C">
              <w:rPr>
                <w:rFonts w:ascii="Titillium Web" w:hAnsi="Titillium Web"/>
                <w:szCs w:val="24"/>
              </w:rPr>
              <w:t>Non determinabile</w:t>
            </w:r>
          </w:p>
        </w:tc>
      </w:tr>
      <w:tr w:rsidR="0086297F" w:rsidRPr="002B018C" w14:paraId="0588946D" w14:textId="77777777" w:rsidTr="002665C6">
        <w:trPr>
          <w:jc w:val="center"/>
        </w:trPr>
        <w:tc>
          <w:tcPr>
            <w:tcW w:w="1650" w:type="pct"/>
            <w:vAlign w:val="center"/>
          </w:tcPr>
          <w:p w14:paraId="54990945"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Classi di età</w:t>
            </w:r>
          </w:p>
        </w:tc>
        <w:tc>
          <w:tcPr>
            <w:tcW w:w="3350" w:type="pct"/>
            <w:vAlign w:val="center"/>
          </w:tcPr>
          <w:p w14:paraId="0E0589EA" w14:textId="7D4DF825" w:rsidR="0086297F" w:rsidRPr="002B018C" w:rsidRDefault="0086297F" w:rsidP="002665C6">
            <w:pPr>
              <w:jc w:val="center"/>
              <w:rPr>
                <w:rFonts w:ascii="Titillium Web" w:hAnsi="Titillium Web"/>
                <w:szCs w:val="24"/>
              </w:rPr>
            </w:pPr>
            <w:r w:rsidRPr="002B018C">
              <w:rPr>
                <w:rFonts w:ascii="Titillium Web" w:hAnsi="Titillium Web"/>
                <w:szCs w:val="24"/>
              </w:rPr>
              <w:t>Non determinabile</w:t>
            </w:r>
          </w:p>
        </w:tc>
      </w:tr>
      <w:tr w:rsidR="0086297F" w:rsidRPr="002B018C" w14:paraId="1FFA88A1" w14:textId="77777777" w:rsidTr="002665C6">
        <w:trPr>
          <w:jc w:val="center"/>
        </w:trPr>
        <w:tc>
          <w:tcPr>
            <w:tcW w:w="1650" w:type="pct"/>
            <w:vAlign w:val="center"/>
          </w:tcPr>
          <w:p w14:paraId="63B2D8D6" w14:textId="77777777" w:rsidR="0086297F" w:rsidRPr="002B018C" w:rsidRDefault="0086297F" w:rsidP="002665C6">
            <w:pPr>
              <w:jc w:val="center"/>
              <w:rPr>
                <w:rFonts w:ascii="Titillium Web" w:hAnsi="Titillium Web"/>
                <w:smallCaps/>
                <w:szCs w:val="24"/>
              </w:rPr>
            </w:pPr>
            <w:r w:rsidRPr="002B018C">
              <w:rPr>
                <w:rFonts w:ascii="Titillium Web" w:hAnsi="Titillium Web"/>
                <w:smallCaps/>
                <w:szCs w:val="24"/>
              </w:rPr>
              <w:t>Bibliografia essenziale</w:t>
            </w:r>
          </w:p>
        </w:tc>
        <w:tc>
          <w:tcPr>
            <w:tcW w:w="3350" w:type="pct"/>
            <w:vAlign w:val="center"/>
          </w:tcPr>
          <w:p w14:paraId="4F1E5190" w14:textId="77777777" w:rsidR="00FD6AD3" w:rsidRPr="002B018C" w:rsidRDefault="00D43B9D" w:rsidP="002B018C">
            <w:pPr>
              <w:jc w:val="center"/>
              <w:rPr>
                <w:rFonts w:ascii="Titillium Web" w:hAnsi="Titillium Web"/>
                <w:szCs w:val="24"/>
              </w:rPr>
            </w:pPr>
            <w:r w:rsidRPr="002B018C">
              <w:rPr>
                <w:rFonts w:ascii="Titillium Web" w:eastAsia="Titillium" w:hAnsi="Titillium Web" w:cs="Titillium"/>
                <w:smallCaps/>
                <w:szCs w:val="24"/>
              </w:rPr>
              <w:t>Romagnoli</w:t>
            </w:r>
            <w:r w:rsidRPr="002B018C">
              <w:rPr>
                <w:rFonts w:ascii="Titillium Web" w:eastAsia="Titillium" w:hAnsi="Titillium Web" w:cs="Titillium"/>
                <w:szCs w:val="24"/>
              </w:rPr>
              <w:t xml:space="preserve"> 2015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2B018C"/>
    <w:rsid w:val="00472AF4"/>
    <w:rsid w:val="00551AF8"/>
    <w:rsid w:val="005B5AFF"/>
    <w:rsid w:val="006162A4"/>
    <w:rsid w:val="006346F7"/>
    <w:rsid w:val="006D6EFB"/>
    <w:rsid w:val="007145BC"/>
    <w:rsid w:val="007E0720"/>
    <w:rsid w:val="0086297F"/>
    <w:rsid w:val="009E4922"/>
    <w:rsid w:val="00AB321D"/>
    <w:rsid w:val="00B165C4"/>
    <w:rsid w:val="00C21EE0"/>
    <w:rsid w:val="00D900AB"/>
    <w:rsid w:val="00D936E8"/>
    <w:rsid w:val="00E24633"/>
    <w:rsid w:val="00FD6A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2026-05-15T07:20:00Z</dcterms:modified>
</cp:coreProperties>
</file>