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3737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A3737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3737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3737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3737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A3737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3737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3737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3737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91FE17" w14:textId="77777777" w:rsidR="00541E8C" w:rsidRPr="00A37375" w:rsidRDefault="00E331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7375">
              <w:rPr>
                <w:rFonts w:ascii="Titillium Web" w:hAnsi="Titillium Web"/>
                <w:i/>
                <w:iCs/>
                <w:szCs w:val="24"/>
              </w:rPr>
              <w:t>Tomba 549 a cremazione</w:t>
            </w:r>
          </w:p>
          <w:p w14:paraId="4BCD762C" w14:textId="77777777" w:rsidR="00541E8C" w:rsidRPr="00A37375" w:rsidRDefault="00E331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7375">
              <w:rPr>
                <w:rFonts w:ascii="Titillium Web" w:hAnsi="Titillium Web"/>
                <w:i/>
                <w:iCs/>
                <w:szCs w:val="24"/>
              </w:rPr>
              <w:t>A m. 13 dal B, a m. 27,30 dal limite Nord dello scavo, a m. 0,80 di profondità poggiava:</w:t>
            </w:r>
          </w:p>
          <w:p w14:paraId="243B4A35" w14:textId="77777777" w:rsidR="00541E8C" w:rsidRPr="00A37375" w:rsidRDefault="00E331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7375">
              <w:rPr>
                <w:rFonts w:ascii="Titillium Web" w:hAnsi="Titillium Web"/>
                <w:i/>
                <w:iCs/>
                <w:szCs w:val="24"/>
              </w:rPr>
              <w:t>1 dolietto a forma ovoidale, di argilla rossiccia ben cotto, con 2 anse ad anello sullo sviluppo del ventre. È frammentato, ma ricomponibile per intero.</w:t>
            </w:r>
          </w:p>
          <w:p w14:paraId="119A8D07" w14:textId="77777777" w:rsidR="00541E8C" w:rsidRPr="00A37375" w:rsidRDefault="00E331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7375">
              <w:rPr>
                <w:rFonts w:ascii="Titillium Web" w:hAnsi="Titillium Web"/>
                <w:i/>
                <w:iCs/>
                <w:szCs w:val="24"/>
              </w:rPr>
              <w:t>Entro il dolio si rinvennero le ossa combuste –</w:t>
            </w:r>
          </w:p>
          <w:p w14:paraId="7120FABD" w14:textId="77777777" w:rsidR="00541E8C" w:rsidRPr="00A37375" w:rsidRDefault="00E331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7375">
              <w:rPr>
                <w:rFonts w:ascii="Titillium Web" w:hAnsi="Titillium Web"/>
                <w:i/>
                <w:iCs/>
                <w:szCs w:val="24"/>
              </w:rPr>
              <w:t>Il dolietto è un po’ storto specialmente sulla spalla e nella bocca; evidentemente questa irregolarità della sua forma deve essere avvenuta ad argilla cruda ancora fresca, prima della</w:t>
            </w:r>
          </w:p>
          <w:p w14:paraId="19402384" w14:textId="77777777" w:rsidR="00541E8C" w:rsidRPr="00A37375" w:rsidRDefault="00E331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7375">
              <w:rPr>
                <w:rFonts w:ascii="Titillium Web" w:hAnsi="Titillium Web"/>
                <w:i/>
                <w:iCs/>
                <w:szCs w:val="24"/>
              </w:rPr>
              <w:t>cottura. Sembra abbia una faccia a vernice rossa della quale si vedono ancora le traccie.</w:t>
            </w:r>
          </w:p>
          <w:p w14:paraId="4C9F465C" w14:textId="77777777" w:rsidR="00541E8C" w:rsidRPr="00A37375" w:rsidRDefault="00E331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7375">
              <w:rPr>
                <w:rFonts w:ascii="Titillium Web" w:hAnsi="Titillium Web"/>
                <w:i/>
                <w:iCs/>
                <w:szCs w:val="24"/>
              </w:rPr>
              <w:t>Era coperto da:</w:t>
            </w:r>
          </w:p>
          <w:p w14:paraId="155B153C" w14:textId="77777777" w:rsidR="00541E8C" w:rsidRPr="00A37375" w:rsidRDefault="00E331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7375">
              <w:rPr>
                <w:rFonts w:ascii="Titillium Web" w:hAnsi="Titillium Web"/>
                <w:i/>
                <w:iCs/>
                <w:szCs w:val="24"/>
              </w:rPr>
              <w:t>1 piattello per pesci (con cavetto) intero, di argilla color cenerognola, grezzo</w:t>
            </w:r>
          </w:p>
        </w:tc>
      </w:tr>
      <w:tr w:rsidR="0086297F" w:rsidRPr="00A3737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3737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737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737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3737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737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3737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737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4A6228" w14:textId="77777777" w:rsidR="00541E8C" w:rsidRPr="00A37375" w:rsidRDefault="00E331B3" w:rsidP="00A37375">
            <w:pPr>
              <w:jc w:val="center"/>
              <w:rPr>
                <w:rFonts w:ascii="Titillium Web" w:hAnsi="Titillium Web"/>
                <w:szCs w:val="24"/>
              </w:rPr>
            </w:pPr>
            <w:r w:rsidRPr="00A3737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37375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429A8"/>
    <w:rsid w:val="00472AF4"/>
    <w:rsid w:val="00541E8C"/>
    <w:rsid w:val="00551AF8"/>
    <w:rsid w:val="005B5AFF"/>
    <w:rsid w:val="006162A4"/>
    <w:rsid w:val="006346F7"/>
    <w:rsid w:val="006D6EFB"/>
    <w:rsid w:val="007145BC"/>
    <w:rsid w:val="0086297F"/>
    <w:rsid w:val="009E4922"/>
    <w:rsid w:val="00A37375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2026-05-15T06:34:00Z</dcterms:modified>
</cp:coreProperties>
</file>