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55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CE6884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CE688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E6884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CE6884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CE688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E688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CE6884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CE688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E688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CE6884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CE688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E688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CE6884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CE688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E6884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CE6884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CE688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E688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CE6884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CE688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E688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CE6884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2E06978" w:rsidR="001B5504" w:rsidRPr="00CE6884" w:rsidRDefault="00D6143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E6884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CE6884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CE6884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19B0ABC9" w:rsidR="001B5504" w:rsidRPr="00CE6884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CE6884">
              <w:rPr>
                <w:rFonts w:ascii="Titillium Web" w:hAnsi="Titillium Web"/>
                <w:i/>
                <w:iCs/>
                <w:szCs w:val="24"/>
              </w:rPr>
              <w:t>55 Tomba – a inumazione</w:t>
            </w:r>
            <w:r w:rsidRPr="00CE6884">
              <w:rPr>
                <w:rFonts w:ascii="Titillium Web" w:hAnsi="Titillium Web"/>
                <w:i/>
                <w:iCs/>
                <w:szCs w:val="24"/>
              </w:rPr>
              <w:br/>
              <w:t>A m 2 a lev. della precedente giace alla profondità di cm 60 uno scheletro marcito che ha presso il fianco des.:</w:t>
            </w:r>
            <w:r w:rsidRPr="00CE6884">
              <w:rPr>
                <w:rFonts w:ascii="Titillium Web" w:hAnsi="Titillium Web"/>
                <w:i/>
                <w:iCs/>
                <w:szCs w:val="24"/>
              </w:rPr>
              <w:br/>
              <w:t xml:space="preserve">- </w:t>
            </w:r>
            <w:r w:rsidRPr="00CE6884">
              <w:rPr>
                <w:rFonts w:ascii="Titillium Web" w:hAnsi="Titillium Web"/>
                <w:i/>
                <w:iCs/>
                <w:szCs w:val="24"/>
                <w:u w:val="single"/>
              </w:rPr>
              <w:t>due tazzine di terra cenerognola</w:t>
            </w:r>
            <w:r w:rsidRPr="00CE6884">
              <w:rPr>
                <w:rFonts w:ascii="Titillium Web" w:hAnsi="Titillium Web"/>
                <w:i/>
                <w:iCs/>
                <w:szCs w:val="24"/>
              </w:rPr>
              <w:br/>
              <w:t xml:space="preserve">- </w:t>
            </w:r>
            <w:r w:rsidRPr="00CE6884">
              <w:rPr>
                <w:rFonts w:ascii="Titillium Web" w:hAnsi="Titillium Web"/>
                <w:i/>
                <w:iCs/>
                <w:szCs w:val="24"/>
                <w:u w:val="single"/>
              </w:rPr>
              <w:t xml:space="preserve">due </w:t>
            </w:r>
            <w:proofErr w:type="gramStart"/>
            <w:r w:rsidRPr="00CE6884">
              <w:rPr>
                <w:rFonts w:ascii="Titillium Web" w:hAnsi="Titillium Web"/>
                <w:i/>
                <w:iCs/>
                <w:szCs w:val="24"/>
                <w:u w:val="single"/>
              </w:rPr>
              <w:t>“ di</w:t>
            </w:r>
            <w:proofErr w:type="gramEnd"/>
            <w:r w:rsidRPr="00CE6884">
              <w:rPr>
                <w:rFonts w:ascii="Titillium Web" w:hAnsi="Titillium Web"/>
                <w:i/>
                <w:iCs/>
                <w:szCs w:val="24"/>
                <w:u w:val="single"/>
              </w:rPr>
              <w:t xml:space="preserve"> terra giallo chiara</w:t>
            </w:r>
            <w:r w:rsidRPr="00CE6884">
              <w:rPr>
                <w:rFonts w:ascii="Titillium Web" w:hAnsi="Titillium Web"/>
                <w:i/>
                <w:iCs/>
                <w:szCs w:val="24"/>
              </w:rPr>
              <w:t xml:space="preserve"> (una frammentaria)</w:t>
            </w:r>
            <w:r w:rsidRPr="00CE6884">
              <w:rPr>
                <w:rFonts w:ascii="Titillium Web" w:hAnsi="Titillium Web"/>
                <w:i/>
                <w:iCs/>
                <w:szCs w:val="24"/>
              </w:rPr>
              <w:br/>
              <w:t xml:space="preserve">- </w:t>
            </w:r>
            <w:r w:rsidRPr="00CE6884">
              <w:rPr>
                <w:rFonts w:ascii="Titillium Web" w:hAnsi="Titillium Web"/>
                <w:i/>
                <w:iCs/>
                <w:szCs w:val="24"/>
                <w:u w:val="single"/>
              </w:rPr>
              <w:t xml:space="preserve">due </w:t>
            </w:r>
            <w:proofErr w:type="gramStart"/>
            <w:r w:rsidRPr="00CE6884">
              <w:rPr>
                <w:rFonts w:ascii="Titillium Web" w:hAnsi="Titillium Web"/>
                <w:i/>
                <w:iCs/>
                <w:szCs w:val="24"/>
                <w:u w:val="single"/>
              </w:rPr>
              <w:t>“ a</w:t>
            </w:r>
            <w:proofErr w:type="gramEnd"/>
            <w:r w:rsidRPr="00CE6884">
              <w:rPr>
                <w:rFonts w:ascii="Titillium Web" w:hAnsi="Titillium Web"/>
                <w:i/>
                <w:iCs/>
                <w:szCs w:val="24"/>
                <w:u w:val="single"/>
              </w:rPr>
              <w:t xml:space="preserve"> vernice nera con</w:t>
            </w:r>
            <w:r w:rsidRPr="00CE6884">
              <w:rPr>
                <w:rFonts w:ascii="Titillium Web" w:hAnsi="Titillium Web"/>
                <w:i/>
                <w:iCs/>
                <w:szCs w:val="24"/>
              </w:rPr>
              <w:t xml:space="preserve"> lievi impressioni (una rotta)</w:t>
            </w:r>
            <w:r w:rsidRPr="00CE6884">
              <w:rPr>
                <w:rFonts w:ascii="Titillium Web" w:hAnsi="Titillium Web"/>
                <w:i/>
                <w:iCs/>
                <w:szCs w:val="24"/>
              </w:rPr>
              <w:br/>
              <w:t xml:space="preserve">- </w:t>
            </w:r>
            <w:r w:rsidRPr="00CE6884">
              <w:rPr>
                <w:rFonts w:ascii="Titillium Web" w:hAnsi="Titillium Web"/>
                <w:i/>
                <w:iCs/>
                <w:szCs w:val="24"/>
                <w:u w:val="single"/>
              </w:rPr>
              <w:t>un aryballos</w:t>
            </w:r>
            <w:r w:rsidRPr="00CE6884">
              <w:rPr>
                <w:rFonts w:ascii="Titillium Web" w:hAnsi="Titillium Web"/>
                <w:i/>
                <w:iCs/>
                <w:szCs w:val="24"/>
              </w:rPr>
              <w:t xml:space="preserve"> di terra giallo chiara dipinto in rosso con disegni graffiti sul fondo della terra gialla sul collo e nel ventre – intero. cm 16</w:t>
            </w:r>
            <w:r w:rsidRPr="00CE6884">
              <w:rPr>
                <w:rFonts w:ascii="Titillium Web" w:hAnsi="Titillium Web"/>
                <w:i/>
                <w:iCs/>
                <w:szCs w:val="24"/>
              </w:rPr>
              <w:br/>
              <w:t xml:space="preserve">- </w:t>
            </w:r>
            <w:r w:rsidRPr="00CE6884">
              <w:rPr>
                <w:rFonts w:ascii="Titillium Web" w:hAnsi="Titillium Web"/>
                <w:i/>
                <w:iCs/>
                <w:szCs w:val="24"/>
                <w:u w:val="single"/>
              </w:rPr>
              <w:t>una anfora in frammenti</w:t>
            </w:r>
            <w:r w:rsidRPr="00CE6884">
              <w:rPr>
                <w:rFonts w:ascii="Titillium Web" w:hAnsi="Titillium Web"/>
                <w:i/>
                <w:iCs/>
                <w:szCs w:val="24"/>
              </w:rPr>
              <w:t>, di terra giallo chiara, a bocca trilobata, e uno</w:t>
            </w:r>
            <w:r w:rsidRPr="00CE6884">
              <w:rPr>
                <w:rFonts w:ascii="Titillium Web" w:hAnsi="Titillium Web"/>
                <w:i/>
                <w:iCs/>
                <w:szCs w:val="24"/>
              </w:rPr>
              <w:br/>
              <w:t xml:space="preserve">- </w:t>
            </w:r>
            <w:r w:rsidRPr="00CE6884">
              <w:rPr>
                <w:rFonts w:ascii="Titillium Web" w:hAnsi="Titillium Web"/>
                <w:i/>
                <w:iCs/>
                <w:szCs w:val="24"/>
                <w:u w:val="single"/>
              </w:rPr>
              <w:t>skyfos piccolino</w:t>
            </w:r>
            <w:r w:rsidRPr="00CE6884">
              <w:rPr>
                <w:rFonts w:ascii="Titillium Web" w:hAnsi="Titillium Web"/>
                <w:i/>
                <w:iCs/>
                <w:szCs w:val="24"/>
              </w:rPr>
              <w:t xml:space="preserve"> in frammenti; con traccie di disegni a colori</w:t>
            </w:r>
            <w:r w:rsidRPr="00CE6884">
              <w:rPr>
                <w:rFonts w:ascii="Titillium Web" w:hAnsi="Titillium Web"/>
                <w:i/>
                <w:iCs/>
                <w:szCs w:val="24"/>
              </w:rPr>
              <w:br/>
              <w:t xml:space="preserve">- </w:t>
            </w:r>
            <w:r w:rsidRPr="00CE6884">
              <w:rPr>
                <w:rFonts w:ascii="Titillium Web" w:hAnsi="Titillium Web"/>
                <w:i/>
                <w:iCs/>
                <w:szCs w:val="24"/>
                <w:u w:val="single"/>
              </w:rPr>
              <w:t>skyfos a vern. n.</w:t>
            </w:r>
            <w:r w:rsidRPr="00CE6884">
              <w:rPr>
                <w:rFonts w:ascii="Titillium Web" w:hAnsi="Titillium Web"/>
                <w:i/>
                <w:iCs/>
                <w:szCs w:val="24"/>
              </w:rPr>
              <w:t>, intero (mancante solo di una ansa)</w:t>
            </w:r>
          </w:p>
        </w:tc>
      </w:tr>
      <w:tr w:rsidR="001B5504" w:rsidRPr="00CE6884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15D98CBA" w14:textId="77777777" w:rsidR="001B5504" w:rsidRPr="00593FF9" w:rsidRDefault="005B2B22" w:rsidP="00593FF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593FF9">
              <w:rPr>
                <w:rFonts w:ascii="Titillium Web" w:hAnsi="Titillium Web" w:cs="Times New Roman"/>
                <w:szCs w:val="24"/>
              </w:rPr>
              <w:t xml:space="preserve">Il corredo era posizionato lungo il fianco destro senza ulteriori specifiche. Fra gli oggetti di accompagno, è attestato un ampio repertorio produttivo, tipico della fase più tarda della necropoli: un </w:t>
            </w:r>
            <w:proofErr w:type="spellStart"/>
            <w:r w:rsidRPr="00593FF9">
              <w:rPr>
                <w:rFonts w:ascii="Titillium Web" w:hAnsi="Titillium Web" w:cs="Times New Roman"/>
                <w:szCs w:val="24"/>
              </w:rPr>
              <w:t>chous</w:t>
            </w:r>
            <w:proofErr w:type="spellEnd"/>
            <w:r w:rsidRPr="00593FF9">
              <w:rPr>
                <w:rFonts w:ascii="Titillium Web" w:hAnsi="Titillium Web" w:cs="Times New Roman"/>
                <w:szCs w:val="24"/>
              </w:rPr>
              <w:t xml:space="preserve"> alto-adriatico, uno skyphos, due ciotole a v.n. e due coppe in ceramica grigia di produzione locale (nn. 1, 3, 7-10); uno skyphos a v.n. di Gnathia (n. 2); una lekythos a v.n. apula (n. 4); una ciotola volterrana ed una di probabile importazione magno-greca (nn. 5-6).</w:t>
            </w:r>
          </w:p>
          <w:p w14:paraId="39556B99" w14:textId="0DA3BE2F" w:rsidR="009275B5" w:rsidRPr="00593FF9" w:rsidRDefault="00780224" w:rsidP="00593FF9">
            <w:pPr>
              <w:jc w:val="center"/>
              <w:rPr>
                <w:rFonts w:ascii="Titillium Web" w:hAnsi="Titillium Web"/>
                <w:szCs w:val="24"/>
              </w:rPr>
            </w:pPr>
            <w:r w:rsidRPr="00593FF9">
              <w:rPr>
                <w:rFonts w:ascii="Titillium Web" w:hAnsi="Titillium Web"/>
                <w:szCs w:val="24"/>
              </w:rPr>
              <w:t xml:space="preserve">1. </w:t>
            </w:r>
            <w:r w:rsidR="009275B5" w:rsidRPr="00593FF9">
              <w:rPr>
                <w:rFonts w:ascii="Titillium Web" w:hAnsi="Titillium Web"/>
                <w:szCs w:val="24"/>
              </w:rPr>
              <w:t>Chous alto-adriatico (IG 716)</w:t>
            </w:r>
          </w:p>
          <w:p w14:paraId="1D0DA453" w14:textId="7F204A6D" w:rsidR="009275B5" w:rsidRPr="00593FF9" w:rsidRDefault="00C45B14" w:rsidP="00593FF9">
            <w:pPr>
              <w:jc w:val="center"/>
              <w:rPr>
                <w:rFonts w:ascii="Titillium Web" w:hAnsi="Titillium Web"/>
                <w:szCs w:val="24"/>
              </w:rPr>
            </w:pPr>
            <w:r w:rsidRPr="00593FF9">
              <w:rPr>
                <w:rFonts w:ascii="Titillium Web" w:hAnsi="Titillium Web"/>
                <w:szCs w:val="24"/>
              </w:rPr>
              <w:t xml:space="preserve">2. </w:t>
            </w:r>
            <w:r w:rsidR="009275B5" w:rsidRPr="00593FF9">
              <w:rPr>
                <w:rFonts w:ascii="Titillium Web" w:hAnsi="Titillium Web"/>
                <w:szCs w:val="24"/>
              </w:rPr>
              <w:t xml:space="preserve">Skyphos di Gnathia (IG 758; vernice nera </w:t>
            </w:r>
            <w:r w:rsidRPr="00593FF9">
              <w:rPr>
                <w:rFonts w:ascii="Titillium Web" w:hAnsi="Titillium Web"/>
                <w:szCs w:val="24"/>
              </w:rPr>
              <w:t>suddipinta</w:t>
            </w:r>
            <w:r w:rsidR="009275B5" w:rsidRPr="00593FF9">
              <w:rPr>
                <w:rFonts w:ascii="Titillium Web" w:hAnsi="Titillium Web"/>
                <w:szCs w:val="24"/>
              </w:rPr>
              <w:t>)</w:t>
            </w:r>
          </w:p>
          <w:p w14:paraId="2F65D287" w14:textId="02679128" w:rsidR="009275B5" w:rsidRPr="00593FF9" w:rsidRDefault="00C45B14" w:rsidP="00593FF9">
            <w:pPr>
              <w:jc w:val="center"/>
              <w:rPr>
                <w:rFonts w:ascii="Titillium Web" w:hAnsi="Titillium Web"/>
                <w:szCs w:val="24"/>
              </w:rPr>
            </w:pPr>
            <w:r w:rsidRPr="00593FF9">
              <w:rPr>
                <w:rFonts w:ascii="Titillium Web" w:hAnsi="Titillium Web"/>
                <w:szCs w:val="24"/>
              </w:rPr>
              <w:lastRenderedPageBreak/>
              <w:t xml:space="preserve">3. </w:t>
            </w:r>
            <w:r w:rsidR="009275B5" w:rsidRPr="00593FF9">
              <w:rPr>
                <w:rFonts w:ascii="Titillium Web" w:hAnsi="Titillium Web"/>
                <w:szCs w:val="24"/>
              </w:rPr>
              <w:t xml:space="preserve">Skyphos </w:t>
            </w:r>
            <w:r w:rsidRPr="00593FF9">
              <w:rPr>
                <w:rFonts w:ascii="Titillium Web" w:hAnsi="Titillium Web"/>
                <w:szCs w:val="24"/>
              </w:rPr>
              <w:t xml:space="preserve">di produzione </w:t>
            </w:r>
            <w:r w:rsidR="009275B5" w:rsidRPr="00593FF9">
              <w:rPr>
                <w:rFonts w:ascii="Titillium Web" w:hAnsi="Titillium Web"/>
                <w:szCs w:val="24"/>
              </w:rPr>
              <w:t>volterran</w:t>
            </w:r>
            <w:r w:rsidRPr="00593FF9">
              <w:rPr>
                <w:rFonts w:ascii="Titillium Web" w:hAnsi="Titillium Web"/>
                <w:szCs w:val="24"/>
              </w:rPr>
              <w:t>a</w:t>
            </w:r>
            <w:r w:rsidR="009275B5" w:rsidRPr="00593FF9">
              <w:rPr>
                <w:rFonts w:ascii="Titillium Web" w:hAnsi="Titillium Web"/>
                <w:szCs w:val="24"/>
              </w:rPr>
              <w:t xml:space="preserve"> (IG 752; vernice nera </w:t>
            </w:r>
            <w:r w:rsidRPr="00593FF9">
              <w:rPr>
                <w:rFonts w:ascii="Titillium Web" w:hAnsi="Titillium Web"/>
                <w:szCs w:val="24"/>
              </w:rPr>
              <w:t>suddipinta</w:t>
            </w:r>
            <w:r w:rsidR="009275B5" w:rsidRPr="00593FF9">
              <w:rPr>
                <w:rFonts w:ascii="Titillium Web" w:hAnsi="Titillium Web"/>
                <w:szCs w:val="24"/>
              </w:rPr>
              <w:t>)</w:t>
            </w:r>
          </w:p>
          <w:p w14:paraId="704A5EBB" w14:textId="7E0A5230" w:rsidR="009275B5" w:rsidRPr="00593FF9" w:rsidRDefault="00C45B14" w:rsidP="00593FF9">
            <w:pPr>
              <w:jc w:val="center"/>
              <w:rPr>
                <w:rFonts w:ascii="Titillium Web" w:hAnsi="Titillium Web"/>
                <w:szCs w:val="24"/>
              </w:rPr>
            </w:pPr>
            <w:r w:rsidRPr="00593FF9">
              <w:rPr>
                <w:rFonts w:ascii="Titillium Web" w:hAnsi="Titillium Web"/>
                <w:szCs w:val="24"/>
              </w:rPr>
              <w:t xml:space="preserve">4. </w:t>
            </w:r>
            <w:r w:rsidR="009275B5" w:rsidRPr="00593FF9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9275B5" w:rsidRPr="00593FF9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9275B5" w:rsidRPr="00593FF9">
              <w:rPr>
                <w:rFonts w:ascii="Titillium Web" w:hAnsi="Titillium Web"/>
                <w:szCs w:val="24"/>
              </w:rPr>
              <w:t xml:space="preserve"> apula (IG 754; vernice nera)</w:t>
            </w:r>
          </w:p>
          <w:p w14:paraId="70211608" w14:textId="4C7AAE92" w:rsidR="009275B5" w:rsidRPr="00593FF9" w:rsidRDefault="00CE6884" w:rsidP="00593FF9">
            <w:pPr>
              <w:jc w:val="center"/>
              <w:rPr>
                <w:rFonts w:ascii="Titillium Web" w:hAnsi="Titillium Web"/>
                <w:szCs w:val="24"/>
              </w:rPr>
            </w:pPr>
            <w:r w:rsidRPr="00593FF9">
              <w:rPr>
                <w:rFonts w:ascii="Titillium Web" w:hAnsi="Titillium Web"/>
                <w:szCs w:val="24"/>
              </w:rPr>
              <w:t xml:space="preserve">5. </w:t>
            </w:r>
            <w:r w:rsidR="009275B5" w:rsidRPr="00593FF9">
              <w:rPr>
                <w:rFonts w:ascii="Titillium Web" w:hAnsi="Titillium Web"/>
                <w:szCs w:val="24"/>
              </w:rPr>
              <w:t xml:space="preserve">Ciotola </w:t>
            </w:r>
            <w:r w:rsidRPr="00593FF9">
              <w:rPr>
                <w:rFonts w:ascii="Titillium Web" w:hAnsi="Titillium Web"/>
                <w:szCs w:val="24"/>
              </w:rPr>
              <w:t xml:space="preserve">di produzione </w:t>
            </w:r>
            <w:r w:rsidR="009275B5" w:rsidRPr="00593FF9">
              <w:rPr>
                <w:rFonts w:ascii="Titillium Web" w:hAnsi="Titillium Web"/>
                <w:szCs w:val="24"/>
              </w:rPr>
              <w:t>magno-greca/siceliota (IG 757; vernice nera)</w:t>
            </w:r>
          </w:p>
          <w:p w14:paraId="4057128A" w14:textId="239F7169" w:rsidR="009275B5" w:rsidRPr="00593FF9" w:rsidRDefault="00CE6884" w:rsidP="00593FF9">
            <w:pPr>
              <w:jc w:val="center"/>
              <w:rPr>
                <w:rFonts w:ascii="Titillium Web" w:hAnsi="Titillium Web"/>
                <w:szCs w:val="24"/>
              </w:rPr>
            </w:pPr>
            <w:r w:rsidRPr="00593FF9">
              <w:rPr>
                <w:rFonts w:ascii="Titillium Web" w:hAnsi="Titillium Web"/>
                <w:szCs w:val="24"/>
              </w:rPr>
              <w:t xml:space="preserve">6. </w:t>
            </w:r>
            <w:r w:rsidR="009275B5" w:rsidRPr="00593FF9">
              <w:rPr>
                <w:rFonts w:ascii="Titillium Web" w:hAnsi="Titillium Web"/>
                <w:szCs w:val="24"/>
              </w:rPr>
              <w:t xml:space="preserve">Ciotola </w:t>
            </w:r>
            <w:r w:rsidRPr="00593FF9">
              <w:rPr>
                <w:rFonts w:ascii="Titillium Web" w:hAnsi="Titillium Web"/>
                <w:szCs w:val="24"/>
              </w:rPr>
              <w:t xml:space="preserve">di produzione </w:t>
            </w:r>
            <w:r w:rsidR="009275B5" w:rsidRPr="00593FF9">
              <w:rPr>
                <w:rFonts w:ascii="Titillium Web" w:hAnsi="Titillium Web"/>
                <w:szCs w:val="24"/>
              </w:rPr>
              <w:t>volterrana (IG 756; vernice nera)</w:t>
            </w:r>
          </w:p>
          <w:p w14:paraId="676F05AE" w14:textId="4F73D8F1" w:rsidR="009275B5" w:rsidRPr="00593FF9" w:rsidRDefault="00CE6884" w:rsidP="00593FF9">
            <w:pPr>
              <w:jc w:val="center"/>
              <w:rPr>
                <w:rFonts w:ascii="Titillium Web" w:hAnsi="Titillium Web"/>
                <w:szCs w:val="24"/>
              </w:rPr>
            </w:pPr>
            <w:r w:rsidRPr="00593FF9">
              <w:rPr>
                <w:rFonts w:ascii="Titillium Web" w:hAnsi="Titillium Web"/>
                <w:szCs w:val="24"/>
              </w:rPr>
              <w:t xml:space="preserve">7. </w:t>
            </w:r>
            <w:r w:rsidR="009275B5" w:rsidRPr="00593FF9">
              <w:rPr>
                <w:rFonts w:ascii="Titillium Web" w:hAnsi="Titillium Web"/>
                <w:szCs w:val="24"/>
              </w:rPr>
              <w:t>Ciotola di produzione locale (IG 759; vernice nera)</w:t>
            </w:r>
          </w:p>
          <w:p w14:paraId="2939E457" w14:textId="26927A71" w:rsidR="009275B5" w:rsidRPr="00593FF9" w:rsidRDefault="00CE6884" w:rsidP="00593FF9">
            <w:pPr>
              <w:jc w:val="center"/>
              <w:rPr>
                <w:rFonts w:ascii="Titillium Web" w:hAnsi="Titillium Web"/>
                <w:szCs w:val="24"/>
              </w:rPr>
            </w:pPr>
            <w:r w:rsidRPr="00593FF9">
              <w:rPr>
                <w:rFonts w:ascii="Titillium Web" w:hAnsi="Titillium Web"/>
                <w:szCs w:val="24"/>
              </w:rPr>
              <w:t xml:space="preserve">8. </w:t>
            </w:r>
            <w:r w:rsidR="009275B5" w:rsidRPr="00593FF9">
              <w:rPr>
                <w:rFonts w:ascii="Titillium Web" w:hAnsi="Titillium Web"/>
                <w:szCs w:val="24"/>
              </w:rPr>
              <w:t>Ciotola di produzione locale (IG 753; vernice nera)</w:t>
            </w:r>
          </w:p>
          <w:p w14:paraId="2CF9A84F" w14:textId="5F804D11" w:rsidR="009275B5" w:rsidRPr="00593FF9" w:rsidRDefault="00CE6884" w:rsidP="00593FF9">
            <w:pPr>
              <w:jc w:val="center"/>
              <w:rPr>
                <w:rFonts w:ascii="Titillium Web" w:hAnsi="Titillium Web"/>
                <w:szCs w:val="24"/>
              </w:rPr>
            </w:pPr>
            <w:r w:rsidRPr="00593FF9">
              <w:rPr>
                <w:rFonts w:ascii="Titillium Web" w:hAnsi="Titillium Web"/>
                <w:szCs w:val="24"/>
              </w:rPr>
              <w:t xml:space="preserve">9. </w:t>
            </w:r>
            <w:r w:rsidR="009275B5" w:rsidRPr="00593FF9">
              <w:rPr>
                <w:rFonts w:ascii="Titillium Web" w:hAnsi="Titillium Web"/>
                <w:szCs w:val="24"/>
              </w:rPr>
              <w:t>Coppa carenata di produzione locale (IG 750; ceramica grigia)</w:t>
            </w:r>
          </w:p>
          <w:p w14:paraId="5EE32F9C" w14:textId="03E3C7C5" w:rsidR="005B2B22" w:rsidRPr="00593FF9" w:rsidRDefault="00CE6884" w:rsidP="00593FF9">
            <w:pPr>
              <w:jc w:val="center"/>
              <w:rPr>
                <w:rFonts w:ascii="Titillium Web" w:hAnsi="Titillium Web"/>
                <w:i/>
                <w:iCs/>
                <w:szCs w:val="24"/>
              </w:rPr>
            </w:pPr>
            <w:r w:rsidRPr="00593FF9">
              <w:rPr>
                <w:rFonts w:ascii="Titillium Web" w:hAnsi="Titillium Web"/>
                <w:szCs w:val="24"/>
              </w:rPr>
              <w:t xml:space="preserve">10. </w:t>
            </w:r>
            <w:r w:rsidR="009275B5" w:rsidRPr="00593FF9">
              <w:rPr>
                <w:rFonts w:ascii="Titillium Web" w:hAnsi="Titillium Web"/>
                <w:szCs w:val="24"/>
              </w:rPr>
              <w:t>Coppa emisferica di produzione locale (IG 751; ceramica grigia)</w:t>
            </w:r>
          </w:p>
        </w:tc>
      </w:tr>
      <w:tr w:rsidR="001B5504" w:rsidRPr="00CE6884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1A43E35" w:rsidR="001B5504" w:rsidRPr="00CE6884" w:rsidRDefault="005B2B2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E688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CE6884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0F43FCB" w:rsidR="001B5504" w:rsidRPr="00CE6884" w:rsidRDefault="00812AF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E6884">
              <w:rPr>
                <w:rFonts w:ascii="Titillium Web" w:hAnsi="Titillium Web" w:cs="Times New Roman"/>
                <w:szCs w:val="24"/>
              </w:rPr>
              <w:t>Al corredo è stato attribuito erroneamente un chiodo in ferro</w:t>
            </w:r>
          </w:p>
        </w:tc>
      </w:tr>
      <w:tr w:rsidR="001B5504" w:rsidRPr="00CE6884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CE688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E688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CE6884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CE688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E688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CE6884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CE688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E688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CE6884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CE688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E6884">
              <w:rPr>
                <w:rFonts w:ascii="Titillium Web" w:hAnsi="Titillium Web"/>
                <w:szCs w:val="24"/>
              </w:rPr>
              <w:t>325-300 a.C.</w:t>
            </w:r>
          </w:p>
        </w:tc>
      </w:tr>
      <w:tr w:rsidR="001B5504" w:rsidRPr="00CE6884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0C3197BD" w:rsidR="001B5504" w:rsidRPr="00CE6884" w:rsidRDefault="00350D50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CE6884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CE688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6884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CE688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350D50"/>
    <w:rsid w:val="00407B8B"/>
    <w:rsid w:val="00472AF4"/>
    <w:rsid w:val="00536BC6"/>
    <w:rsid w:val="00593FF9"/>
    <w:rsid w:val="005B2B22"/>
    <w:rsid w:val="005B5AFF"/>
    <w:rsid w:val="0068458A"/>
    <w:rsid w:val="00710B38"/>
    <w:rsid w:val="007145BC"/>
    <w:rsid w:val="00780224"/>
    <w:rsid w:val="007D54CD"/>
    <w:rsid w:val="00812AF3"/>
    <w:rsid w:val="009275B5"/>
    <w:rsid w:val="00942E70"/>
    <w:rsid w:val="00943EAC"/>
    <w:rsid w:val="00950348"/>
    <w:rsid w:val="00975CA9"/>
    <w:rsid w:val="00997946"/>
    <w:rsid w:val="009E4922"/>
    <w:rsid w:val="00A52A70"/>
    <w:rsid w:val="00A65B85"/>
    <w:rsid w:val="00AD103E"/>
    <w:rsid w:val="00B165C4"/>
    <w:rsid w:val="00B86B2D"/>
    <w:rsid w:val="00BE2CB2"/>
    <w:rsid w:val="00BE63CC"/>
    <w:rsid w:val="00BF212E"/>
    <w:rsid w:val="00C21EE0"/>
    <w:rsid w:val="00C30F5C"/>
    <w:rsid w:val="00C45B14"/>
    <w:rsid w:val="00CC46E5"/>
    <w:rsid w:val="00CE6884"/>
    <w:rsid w:val="00D54723"/>
    <w:rsid w:val="00D6143F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21</cp:revision>
  <dcterms:created xsi:type="dcterms:W3CDTF">2026-04-28T14:33:00Z</dcterms:created>
  <dcterms:modified xsi:type="dcterms:W3CDTF">2026-05-18T08:28:00Z</dcterms:modified>
</cp:coreProperties>
</file>