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570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009E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00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9EC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1009E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00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9E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009E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00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9E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009E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00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9EC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1009E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00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9EC">
              <w:rPr>
                <w:rFonts w:ascii="Titillium Web" w:hAnsi="Titillium Web"/>
                <w:szCs w:val="24"/>
              </w:rPr>
              <w:t>1,39 m</w:t>
            </w:r>
          </w:p>
        </w:tc>
      </w:tr>
      <w:tr w:rsidR="0086297F" w:rsidRPr="001009E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00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9E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009E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00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9E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009E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00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9E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009E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EF8224B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9EC">
              <w:rPr>
                <w:rFonts w:ascii="Titillium Web" w:hAnsi="Titillium Web"/>
                <w:i/>
                <w:iCs/>
                <w:szCs w:val="24"/>
              </w:rPr>
              <w:t>Tomba 570 – umata –</w:t>
            </w:r>
          </w:p>
          <w:p w14:paraId="70487222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9EC">
              <w:rPr>
                <w:rFonts w:ascii="Titillium Web" w:hAnsi="Titillium Web"/>
                <w:i/>
                <w:iCs/>
                <w:szCs w:val="24"/>
              </w:rPr>
              <w:t>A m 147,20 dal B, a m 4 a nord della linea dello scavo, a m 1,39 di profondità si rinviene una tomba a umazione della quale lo scheletro e i vasi sono racchiusi tra due travi (se ne rinvennero soltanto due). Lo scheletro è orientato da N.O. a S.E. (l’orientamento è approssimativo poiché causa l’acqua del sottosuolo fu difficile l’esplorazione)</w:t>
            </w:r>
          </w:p>
          <w:p w14:paraId="264F68DB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9EC">
              <w:rPr>
                <w:rFonts w:ascii="Titillium Web" w:hAnsi="Titillium Web"/>
                <w:i/>
                <w:iCs/>
                <w:szCs w:val="24"/>
              </w:rPr>
              <w:t>Lo scheletro presso il collo aveva:</w:t>
            </w:r>
          </w:p>
          <w:p w14:paraId="4F765F9E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009E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009EC">
              <w:rPr>
                <w:rFonts w:ascii="Titillium Web" w:hAnsi="Titillium Web"/>
                <w:i/>
                <w:iCs/>
                <w:szCs w:val="24"/>
              </w:rPr>
              <w:t xml:space="preserve"> ambre con foro pervio (e una mezza perla) sul bacino si rinvenne:</w:t>
            </w:r>
          </w:p>
          <w:p w14:paraId="0B3F03DF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9EC">
              <w:rPr>
                <w:rFonts w:ascii="Titillium Web" w:hAnsi="Titillium Web"/>
                <w:i/>
                <w:iCs/>
                <w:szCs w:val="24"/>
              </w:rPr>
              <w:t>1 frammento di gancio di bronzo (di cinturone?)</w:t>
            </w:r>
          </w:p>
          <w:p w14:paraId="0B8442D4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9EC">
              <w:rPr>
                <w:rFonts w:ascii="Titillium Web" w:hAnsi="Titillium Web"/>
                <w:i/>
                <w:iCs/>
                <w:szCs w:val="24"/>
              </w:rPr>
              <w:t>Presso la mano destra</w:t>
            </w:r>
          </w:p>
          <w:p w14:paraId="6C04770F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9EC">
              <w:rPr>
                <w:rFonts w:ascii="Titillium Web" w:hAnsi="Titillium Web"/>
                <w:i/>
                <w:iCs/>
                <w:szCs w:val="24"/>
              </w:rPr>
              <w:t>1 ansa di bronzo di bicchiere? (Vedi simili T. 128) e vicino erano:</w:t>
            </w:r>
          </w:p>
          <w:p w14:paraId="0258758F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9EC">
              <w:rPr>
                <w:rFonts w:ascii="Titillium Web" w:hAnsi="Titillium Web"/>
                <w:i/>
                <w:iCs/>
                <w:szCs w:val="24"/>
              </w:rPr>
              <w:t>2 oinochoi trilobati, a v.n., figurati, uno con due figure maschili di uomini ammantati (una ha lo strigile. Nell’altro oinocoe, figura di donna che regge una cassetta davanti a giovane ammantato con bastone. Questo è frammentato nei lobi della bocca. Alti 0,18</w:t>
            </w:r>
          </w:p>
          <w:p w14:paraId="16A2B336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9EC">
              <w:rPr>
                <w:rFonts w:ascii="Titillium Web" w:hAnsi="Titillium Web"/>
                <w:i/>
                <w:iCs/>
                <w:szCs w:val="24"/>
              </w:rPr>
              <w:t>Presso la spalla destra:</w:t>
            </w:r>
          </w:p>
          <w:p w14:paraId="7AC1E44D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9EC">
              <w:rPr>
                <w:rFonts w:ascii="Titillium Web" w:hAnsi="Titillium Web"/>
                <w:i/>
                <w:iCs/>
                <w:szCs w:val="24"/>
              </w:rPr>
              <w:t>1 bicchiere a v.n. con zona di palmette rosse e nere presso l’orlo, e una fascia di foglie con bocche dipinte, è leggermente frammentato presso l’orlo</w:t>
            </w:r>
          </w:p>
          <w:p w14:paraId="7B604BF7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009EC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1009EC">
              <w:rPr>
                <w:rFonts w:ascii="Titillium Web" w:hAnsi="Titillium Web"/>
                <w:i/>
                <w:iCs/>
                <w:szCs w:val="24"/>
              </w:rPr>
              <w:t xml:space="preserve"> scodelle ad alto piede, a v.n., una intera le altre frammentate</w:t>
            </w:r>
          </w:p>
          <w:p w14:paraId="384F3572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9EC">
              <w:rPr>
                <w:rFonts w:ascii="Titillium Web" w:hAnsi="Titillium Web"/>
                <w:i/>
                <w:iCs/>
                <w:szCs w:val="24"/>
              </w:rPr>
              <w:t>1 scodellina a v.n. con ansa orizzontale, intera</w:t>
            </w:r>
          </w:p>
          <w:p w14:paraId="51C233D9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9EC">
              <w:rPr>
                <w:rFonts w:ascii="Titillium Web" w:hAnsi="Titillium Web"/>
                <w:i/>
                <w:iCs/>
                <w:szCs w:val="24"/>
              </w:rPr>
              <w:t>1 scodellina idem senza ansa frammentata</w:t>
            </w:r>
          </w:p>
          <w:p w14:paraId="224BF914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009EC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1009EC">
              <w:rPr>
                <w:rFonts w:ascii="Titillium Web" w:hAnsi="Titillium Web"/>
                <w:i/>
                <w:iCs/>
                <w:szCs w:val="24"/>
              </w:rPr>
              <w:t xml:space="preserve"> scodellini apodi, a v.n., interi, con palmette impresse</w:t>
            </w:r>
          </w:p>
          <w:p w14:paraId="579F47A9" w14:textId="77777777" w:rsidR="00264CD2" w:rsidRPr="001009EC" w:rsidRDefault="003C173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009EC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1009EC">
              <w:rPr>
                <w:rFonts w:ascii="Titillium Web" w:hAnsi="Titillium Web"/>
                <w:i/>
                <w:iCs/>
                <w:szCs w:val="24"/>
              </w:rPr>
              <w:t xml:space="preserve"> piatti ad alto piede di argilla cenerognola, grezzi (due interi, uno rotto)</w:t>
            </w:r>
          </w:p>
        </w:tc>
      </w:tr>
      <w:tr w:rsidR="0086297F" w:rsidRPr="001009E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00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9E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009E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00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9E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09E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00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009EC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1009E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00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9E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09E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00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9E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48CFE9B" w14:textId="61C418FD" w:rsidR="00264CD2" w:rsidRPr="001009EC" w:rsidRDefault="001009EC" w:rsidP="001009EC">
            <w:pPr>
              <w:jc w:val="center"/>
              <w:rPr>
                <w:rFonts w:ascii="Titillium Web" w:hAnsi="Titillium Web"/>
                <w:szCs w:val="24"/>
              </w:rPr>
            </w:pPr>
            <w:r w:rsidRPr="001009EC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3C1732" w:rsidRPr="001009EC">
              <w:rPr>
                <w:rFonts w:ascii="Titillium Web" w:eastAsia="Titillium" w:hAnsi="Titillium Web" w:cs="Titillium"/>
                <w:szCs w:val="24"/>
              </w:rPr>
              <w:t xml:space="preserve"> 1993, p. 41; </w:t>
            </w:r>
            <w:r w:rsidR="003C1732" w:rsidRPr="001009EC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="003C1732" w:rsidRPr="001009EC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09EC"/>
    <w:rsid w:val="001C17CC"/>
    <w:rsid w:val="00264CD2"/>
    <w:rsid w:val="002977D7"/>
    <w:rsid w:val="003805E9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2026-05-14T20:19:00Z</dcterms:modified>
</cp:coreProperties>
</file>