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3F8408" w14:textId="0B5C78B4" w:rsidR="00472AF4" w:rsidRPr="00C30F5C" w:rsidRDefault="00014214" w:rsidP="001B5504">
      <w:pPr>
        <w:jc w:val="center"/>
        <w:rPr>
          <w:rFonts w:ascii="Titillium Web" w:hAnsi="Titillium Web"/>
          <w:b/>
          <w:bCs/>
          <w:sz w:val="28"/>
          <w:szCs w:val="24"/>
        </w:rPr>
      </w:pPr>
      <w:r w:rsidRPr="00C30F5C">
        <w:rPr>
          <w:rFonts w:ascii="Titillium Web" w:hAnsi="Titillium Web"/>
          <w:b/>
          <w:bCs/>
          <w:sz w:val="28"/>
          <w:szCs w:val="24"/>
        </w:rPr>
        <w:t>Valle Trebba – Tomba 59</w:t>
      </w:r>
    </w:p>
    <w:tbl>
      <w:tblPr>
        <w:tblStyle w:val="Grigliatabella"/>
        <w:tblW w:w="5000" w:type="pct"/>
        <w:jc w:val="center"/>
        <w:tblLook w:val="04A0" w:firstRow="1" w:lastRow="0" w:firstColumn="1" w:lastColumn="0" w:noHBand="0" w:noVBand="1"/>
      </w:tblPr>
      <w:tblGrid>
        <w:gridCol w:w="2990"/>
        <w:gridCol w:w="6070"/>
      </w:tblGrid>
      <w:tr w:rsidR="001B5504" w:rsidRPr="00797ACE" w14:paraId="7E897B51" w14:textId="77777777" w:rsidTr="001B5504">
        <w:trPr>
          <w:jc w:val="center"/>
        </w:trPr>
        <w:tc>
          <w:tcPr>
            <w:tcW w:w="1650" w:type="pct"/>
            <w:vAlign w:val="center"/>
          </w:tcPr>
          <w:p w14:paraId="42CC7784"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Anno di rinvenimento</w:t>
            </w:r>
          </w:p>
        </w:tc>
        <w:tc>
          <w:tcPr>
            <w:tcW w:w="3350" w:type="pct"/>
            <w:vAlign w:val="center"/>
          </w:tcPr>
          <w:p w14:paraId="3911E4F6" w14:textId="6BFD1686" w:rsidR="001B5504" w:rsidRPr="00797ACE" w:rsidRDefault="001B5504" w:rsidP="00BF212E">
            <w:pPr>
              <w:jc w:val="center"/>
              <w:rPr>
                <w:rFonts w:ascii="Titillium Web" w:hAnsi="Titillium Web"/>
                <w:szCs w:val="24"/>
              </w:rPr>
            </w:pPr>
            <w:r w:rsidRPr="00797ACE">
              <w:rPr>
                <w:rFonts w:ascii="Titillium Web" w:hAnsi="Titillium Web"/>
                <w:szCs w:val="24"/>
              </w:rPr>
              <w:t>1923</w:t>
            </w:r>
          </w:p>
        </w:tc>
      </w:tr>
      <w:tr w:rsidR="001B5504" w:rsidRPr="00797ACE" w14:paraId="4120B077" w14:textId="77777777" w:rsidTr="001B5504">
        <w:trPr>
          <w:jc w:val="center"/>
        </w:trPr>
        <w:tc>
          <w:tcPr>
            <w:tcW w:w="1650" w:type="pct"/>
            <w:vAlign w:val="center"/>
          </w:tcPr>
          <w:p w14:paraId="7B4CDD57"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Stato di conservazione della tomba</w:t>
            </w:r>
          </w:p>
        </w:tc>
        <w:tc>
          <w:tcPr>
            <w:tcW w:w="3350" w:type="pct"/>
            <w:vAlign w:val="center"/>
          </w:tcPr>
          <w:p w14:paraId="4ED449D1" w14:textId="67560E4F" w:rsidR="001B5504" w:rsidRPr="00797ACE" w:rsidRDefault="001B5504" w:rsidP="00BF212E">
            <w:pPr>
              <w:jc w:val="center"/>
              <w:rPr>
                <w:rFonts w:ascii="Titillium Web" w:hAnsi="Titillium Web"/>
                <w:szCs w:val="24"/>
              </w:rPr>
            </w:pPr>
            <w:r w:rsidRPr="00797ACE">
              <w:rPr>
                <w:rFonts w:ascii="Titillium Web" w:hAnsi="Titillium Web"/>
                <w:szCs w:val="24"/>
              </w:rPr>
              <w:t>Intatta</w:t>
            </w:r>
          </w:p>
        </w:tc>
      </w:tr>
      <w:tr w:rsidR="001B5504" w:rsidRPr="00797ACE" w14:paraId="7A448E9D" w14:textId="77777777" w:rsidTr="001B5504">
        <w:trPr>
          <w:jc w:val="center"/>
        </w:trPr>
        <w:tc>
          <w:tcPr>
            <w:tcW w:w="1650" w:type="pct"/>
            <w:vAlign w:val="center"/>
          </w:tcPr>
          <w:p w14:paraId="1E1EA165"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Rito di seppellimento</w:t>
            </w:r>
          </w:p>
        </w:tc>
        <w:tc>
          <w:tcPr>
            <w:tcW w:w="3350" w:type="pct"/>
            <w:vAlign w:val="center"/>
          </w:tcPr>
          <w:p w14:paraId="18226334" w14:textId="6B6FE1CF" w:rsidR="001B5504" w:rsidRPr="00797ACE" w:rsidRDefault="001B5504" w:rsidP="00BF212E">
            <w:pPr>
              <w:jc w:val="center"/>
              <w:rPr>
                <w:rFonts w:ascii="Titillium Web" w:hAnsi="Titillium Web"/>
                <w:szCs w:val="24"/>
              </w:rPr>
            </w:pPr>
            <w:r w:rsidRPr="00797ACE">
              <w:rPr>
                <w:rFonts w:ascii="Titillium Web" w:hAnsi="Titillium Web"/>
                <w:szCs w:val="24"/>
              </w:rPr>
              <w:t>Cremazione</w:t>
            </w:r>
          </w:p>
        </w:tc>
      </w:tr>
      <w:tr w:rsidR="001B5504" w:rsidRPr="00797ACE" w14:paraId="31276AA4" w14:textId="77777777" w:rsidTr="001B5504">
        <w:trPr>
          <w:jc w:val="center"/>
        </w:trPr>
        <w:tc>
          <w:tcPr>
            <w:tcW w:w="1650" w:type="pct"/>
            <w:vAlign w:val="center"/>
          </w:tcPr>
          <w:p w14:paraId="33201D3D"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Struttura tomba</w:t>
            </w:r>
          </w:p>
        </w:tc>
        <w:tc>
          <w:tcPr>
            <w:tcW w:w="3350" w:type="pct"/>
            <w:vAlign w:val="center"/>
          </w:tcPr>
          <w:p w14:paraId="720E7EE7" w14:textId="3E36BEBB" w:rsidR="001B5504" w:rsidRPr="00797ACE" w:rsidRDefault="001B5504" w:rsidP="00BF212E">
            <w:pPr>
              <w:jc w:val="center"/>
              <w:rPr>
                <w:rFonts w:ascii="Titillium Web" w:hAnsi="Titillium Web"/>
                <w:szCs w:val="24"/>
              </w:rPr>
            </w:pPr>
            <w:r w:rsidRPr="00797ACE">
              <w:rPr>
                <w:rFonts w:ascii="Titillium Web" w:hAnsi="Titillium Web"/>
                <w:szCs w:val="24"/>
              </w:rPr>
              <w:t>Pozzetto semplice</w:t>
            </w:r>
          </w:p>
        </w:tc>
      </w:tr>
      <w:tr w:rsidR="001B5504" w:rsidRPr="00797ACE" w14:paraId="07337DA2" w14:textId="77777777" w:rsidTr="001B5504">
        <w:trPr>
          <w:jc w:val="center"/>
        </w:trPr>
        <w:tc>
          <w:tcPr>
            <w:tcW w:w="1650" w:type="pct"/>
            <w:vAlign w:val="center"/>
          </w:tcPr>
          <w:p w14:paraId="5032DFD5"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Profondità dal piano di campagna</w:t>
            </w:r>
          </w:p>
        </w:tc>
        <w:tc>
          <w:tcPr>
            <w:tcW w:w="3350" w:type="pct"/>
            <w:vAlign w:val="center"/>
          </w:tcPr>
          <w:p w14:paraId="4AC1C871" w14:textId="553FE193" w:rsidR="001B5504" w:rsidRPr="00797ACE" w:rsidRDefault="001B5504" w:rsidP="00BF212E">
            <w:pPr>
              <w:jc w:val="center"/>
              <w:rPr>
                <w:rFonts w:ascii="Titillium Web" w:hAnsi="Titillium Web"/>
                <w:szCs w:val="24"/>
              </w:rPr>
            </w:pPr>
            <w:r w:rsidRPr="00797ACE">
              <w:rPr>
                <w:rFonts w:ascii="Titillium Web" w:hAnsi="Titillium Web"/>
                <w:szCs w:val="24"/>
              </w:rPr>
              <w:t>0,50 m</w:t>
            </w:r>
          </w:p>
        </w:tc>
      </w:tr>
      <w:tr w:rsidR="001B5504" w:rsidRPr="00797ACE" w14:paraId="16F9D287" w14:textId="77777777" w:rsidTr="001B5504">
        <w:trPr>
          <w:jc w:val="center"/>
        </w:trPr>
        <w:tc>
          <w:tcPr>
            <w:tcW w:w="1650" w:type="pct"/>
            <w:vAlign w:val="center"/>
          </w:tcPr>
          <w:p w14:paraId="5D675683"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Dimensioni della sepoltura</w:t>
            </w:r>
          </w:p>
        </w:tc>
        <w:tc>
          <w:tcPr>
            <w:tcW w:w="3350" w:type="pct"/>
            <w:vAlign w:val="center"/>
          </w:tcPr>
          <w:p w14:paraId="606ED54D" w14:textId="0EBDB5D9" w:rsidR="001B5504" w:rsidRPr="00797ACE" w:rsidRDefault="001B5504" w:rsidP="00BF212E">
            <w:pPr>
              <w:jc w:val="center"/>
              <w:rPr>
                <w:rFonts w:ascii="Titillium Web" w:hAnsi="Titillium Web"/>
                <w:szCs w:val="24"/>
              </w:rPr>
            </w:pPr>
            <w:r w:rsidRPr="00797ACE">
              <w:rPr>
                <w:rFonts w:ascii="Titillium Web" w:hAnsi="Titillium Web"/>
                <w:szCs w:val="24"/>
              </w:rPr>
              <w:t>Dimensioni non registrate</w:t>
            </w:r>
          </w:p>
        </w:tc>
      </w:tr>
      <w:tr w:rsidR="001B5504" w:rsidRPr="00797ACE" w14:paraId="3DCDE8C5" w14:textId="77777777" w:rsidTr="001B5504">
        <w:trPr>
          <w:jc w:val="center"/>
        </w:trPr>
        <w:tc>
          <w:tcPr>
            <w:tcW w:w="1650" w:type="pct"/>
            <w:vAlign w:val="center"/>
          </w:tcPr>
          <w:p w14:paraId="090E3992"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Orientamento dello scheletro</w:t>
            </w:r>
          </w:p>
        </w:tc>
        <w:tc>
          <w:tcPr>
            <w:tcW w:w="3350" w:type="pct"/>
            <w:vAlign w:val="center"/>
          </w:tcPr>
          <w:p w14:paraId="01C3562F" w14:textId="4436A79F" w:rsidR="001B5504" w:rsidRPr="00797ACE" w:rsidRDefault="0079438F" w:rsidP="00BF212E">
            <w:pPr>
              <w:jc w:val="center"/>
              <w:rPr>
                <w:rFonts w:ascii="Titillium Web" w:hAnsi="Titillium Web"/>
                <w:szCs w:val="24"/>
              </w:rPr>
            </w:pPr>
            <w:r w:rsidRPr="00797ACE">
              <w:rPr>
                <w:rFonts w:ascii="Titillium Web" w:hAnsi="Titillium Web"/>
                <w:szCs w:val="24"/>
              </w:rPr>
              <w:t>/</w:t>
            </w:r>
          </w:p>
        </w:tc>
      </w:tr>
      <w:tr w:rsidR="001B5504" w:rsidRPr="00797ACE" w14:paraId="5978151F" w14:textId="77777777" w:rsidTr="001B5504">
        <w:trPr>
          <w:jc w:val="center"/>
        </w:trPr>
        <w:tc>
          <w:tcPr>
            <w:tcW w:w="1650" w:type="pct"/>
            <w:vAlign w:val="center"/>
          </w:tcPr>
          <w:p w14:paraId="1F67A10B"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Segnacolo</w:t>
            </w:r>
          </w:p>
        </w:tc>
        <w:tc>
          <w:tcPr>
            <w:tcW w:w="3350" w:type="pct"/>
            <w:vAlign w:val="center"/>
          </w:tcPr>
          <w:p w14:paraId="6599D472" w14:textId="7FC96170" w:rsidR="001B5504" w:rsidRPr="00797ACE" w:rsidRDefault="0079438F" w:rsidP="00BF212E">
            <w:pPr>
              <w:jc w:val="center"/>
              <w:rPr>
                <w:rFonts w:ascii="Titillium Web" w:hAnsi="Titillium Web"/>
                <w:szCs w:val="24"/>
              </w:rPr>
            </w:pPr>
            <w:r w:rsidRPr="00797ACE">
              <w:rPr>
                <w:rFonts w:ascii="Titillium Web" w:hAnsi="Titillium Web"/>
                <w:szCs w:val="24"/>
              </w:rPr>
              <w:t>/</w:t>
            </w:r>
          </w:p>
        </w:tc>
      </w:tr>
      <w:tr w:rsidR="001B5504" w:rsidRPr="00797ACE" w14:paraId="28E05F99" w14:textId="77777777" w:rsidTr="001B5504">
        <w:trPr>
          <w:jc w:val="center"/>
        </w:trPr>
        <w:tc>
          <w:tcPr>
            <w:tcW w:w="1650" w:type="pct"/>
            <w:vAlign w:val="center"/>
          </w:tcPr>
          <w:p w14:paraId="6ECF1BD4" w14:textId="77777777" w:rsidR="001B5504" w:rsidRPr="00797ACE" w:rsidRDefault="001B5504" w:rsidP="001F2833">
            <w:pPr>
              <w:spacing w:before="120" w:after="120"/>
              <w:jc w:val="center"/>
              <w:rPr>
                <w:rFonts w:ascii="Titillium Web" w:hAnsi="Titillium Web"/>
                <w:smallCaps/>
                <w:szCs w:val="24"/>
              </w:rPr>
            </w:pPr>
            <w:r w:rsidRPr="00797ACE">
              <w:rPr>
                <w:rFonts w:ascii="Titillium Web" w:hAnsi="Titillium Web"/>
                <w:smallCaps/>
                <w:szCs w:val="24"/>
              </w:rPr>
              <w:t>Giornale di scavo (GdS)</w:t>
            </w:r>
          </w:p>
        </w:tc>
        <w:tc>
          <w:tcPr>
            <w:tcW w:w="3350" w:type="pct"/>
            <w:vAlign w:val="center"/>
          </w:tcPr>
          <w:p w14:paraId="1A6B7E7E" w14:textId="2F1C8A9C" w:rsidR="001B5504" w:rsidRPr="00797ACE" w:rsidRDefault="001B5504" w:rsidP="00BF212E">
            <w:pPr>
              <w:jc w:val="left"/>
              <w:rPr>
                <w:rFonts w:ascii="Titillium Web" w:hAnsi="Titillium Web"/>
                <w:i/>
                <w:iCs/>
                <w:szCs w:val="24"/>
              </w:rPr>
            </w:pPr>
            <w:r w:rsidRPr="00797ACE">
              <w:rPr>
                <w:rFonts w:ascii="Titillium Web" w:hAnsi="Titillium Web"/>
                <w:i/>
                <w:iCs/>
                <w:szCs w:val="24"/>
              </w:rPr>
              <w:t>59 Tomba – a cremazione</w:t>
            </w:r>
            <w:r w:rsidRPr="00797ACE">
              <w:rPr>
                <w:rFonts w:ascii="Titillium Web" w:hAnsi="Titillium Web"/>
                <w:i/>
                <w:iCs/>
                <w:szCs w:val="24"/>
              </w:rPr>
              <w:br/>
              <w:t xml:space="preserve">A m. 10 dalla fetta di terreno dissodata sull’asse del dosso, verso Nord, a m. 0,50 di prof.tà, appare </w:t>
            </w:r>
            <w:r w:rsidRPr="00797ACE">
              <w:rPr>
                <w:rFonts w:ascii="Titillium Web" w:hAnsi="Titillium Web"/>
                <w:i/>
                <w:iCs/>
                <w:szCs w:val="24"/>
                <w:u w:val="single"/>
              </w:rPr>
              <w:t>un dolietto piccolo</w:t>
            </w:r>
            <w:r w:rsidRPr="00797ACE">
              <w:rPr>
                <w:rFonts w:ascii="Titillium Web" w:hAnsi="Titillium Web"/>
                <w:i/>
                <w:iCs/>
                <w:szCs w:val="24"/>
              </w:rPr>
              <w:t xml:space="preserve">, coperto da </w:t>
            </w:r>
            <w:r w:rsidRPr="00797ACE">
              <w:rPr>
                <w:rFonts w:ascii="Titillium Web" w:hAnsi="Titillium Web"/>
                <w:i/>
                <w:iCs/>
                <w:szCs w:val="24"/>
                <w:u w:val="single"/>
              </w:rPr>
              <w:t>un piattello di</w:t>
            </w:r>
            <w:r w:rsidRPr="00797ACE">
              <w:rPr>
                <w:rFonts w:ascii="Titillium Web" w:hAnsi="Titillium Web"/>
                <w:i/>
                <w:iCs/>
                <w:szCs w:val="24"/>
              </w:rPr>
              <w:t xml:space="preserve"> impasto locale cenerognolo recante del centro un cavetto; il piattello è in frammenti.</w:t>
            </w:r>
            <w:r w:rsidRPr="00797ACE">
              <w:rPr>
                <w:rFonts w:ascii="Titillium Web" w:hAnsi="Titillium Web"/>
                <w:i/>
                <w:iCs/>
                <w:szCs w:val="24"/>
              </w:rPr>
              <w:br/>
              <w:t>Il dolietto è piccolo (alto 0,22) a forma di olla, intero.</w:t>
            </w:r>
            <w:r w:rsidRPr="00797ACE">
              <w:rPr>
                <w:rFonts w:ascii="Titillium Web" w:hAnsi="Titillium Web"/>
                <w:i/>
                <w:iCs/>
                <w:szCs w:val="24"/>
              </w:rPr>
              <w:br/>
              <w:t>Fra le ceneri alcun oggetto.</w:t>
            </w:r>
          </w:p>
        </w:tc>
      </w:tr>
      <w:tr w:rsidR="001B5504" w:rsidRPr="00797ACE" w14:paraId="4CA65959" w14:textId="77777777" w:rsidTr="001B5504">
        <w:trPr>
          <w:jc w:val="center"/>
        </w:trPr>
        <w:tc>
          <w:tcPr>
            <w:tcW w:w="1650" w:type="pct"/>
            <w:vAlign w:val="center"/>
          </w:tcPr>
          <w:p w14:paraId="42C0306C"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Corredo</w:t>
            </w:r>
          </w:p>
        </w:tc>
        <w:tc>
          <w:tcPr>
            <w:tcW w:w="3350" w:type="pct"/>
            <w:vAlign w:val="center"/>
          </w:tcPr>
          <w:p w14:paraId="15DA0D30" w14:textId="77777777" w:rsidR="00971EF6" w:rsidRPr="00797ACE" w:rsidRDefault="00971EF6" w:rsidP="0018750D">
            <w:pPr>
              <w:contextualSpacing/>
              <w:jc w:val="center"/>
              <w:rPr>
                <w:rFonts w:ascii="Titillium Web" w:hAnsi="Titillium Web" w:cs="Times New Roman"/>
                <w:szCs w:val="24"/>
              </w:rPr>
            </w:pPr>
            <w:r w:rsidRPr="00797ACE">
              <w:rPr>
                <w:rFonts w:ascii="Titillium Web" w:hAnsi="Titillium Web" w:cs="Times New Roman"/>
                <w:szCs w:val="24"/>
              </w:rPr>
              <w:t>Un’olla di produzione locale in ceramica grigia (n. 1) fungeva da cinerario ed era coperta da un piatto da pesce, anch’esso in ceramica grigia (n. 2). La sepoltura era priva di corredo.</w:t>
            </w:r>
          </w:p>
          <w:p w14:paraId="4AE4020A" w14:textId="77777777" w:rsidR="001B5504" w:rsidRPr="00797ACE" w:rsidRDefault="00971EF6" w:rsidP="0018750D">
            <w:pPr>
              <w:contextualSpacing/>
              <w:jc w:val="center"/>
              <w:rPr>
                <w:rFonts w:ascii="Titillium Web" w:hAnsi="Titillium Web" w:cs="Times New Roman"/>
                <w:szCs w:val="24"/>
              </w:rPr>
            </w:pPr>
            <w:r w:rsidRPr="00797ACE">
              <w:rPr>
                <w:rFonts w:ascii="Titillium Web" w:hAnsi="Titillium Web" w:cs="Times New Roman"/>
                <w:szCs w:val="24"/>
              </w:rPr>
              <w:t xml:space="preserve">1. Olla </w:t>
            </w:r>
            <w:r w:rsidR="0018750D" w:rsidRPr="00797ACE">
              <w:rPr>
                <w:rFonts w:ascii="Titillium Web" w:hAnsi="Titillium Web" w:cs="Times New Roman"/>
                <w:szCs w:val="24"/>
              </w:rPr>
              <w:t>di produzione locale (IG 16135; ceramica grigia)</w:t>
            </w:r>
          </w:p>
          <w:p w14:paraId="5EE32F9C" w14:textId="3DE4F15C" w:rsidR="0018750D" w:rsidRPr="00797ACE" w:rsidRDefault="0018750D" w:rsidP="0018750D">
            <w:pPr>
              <w:contextualSpacing/>
              <w:jc w:val="center"/>
              <w:rPr>
                <w:rFonts w:ascii="Titillium Web" w:hAnsi="Titillium Web"/>
                <w:szCs w:val="24"/>
              </w:rPr>
            </w:pPr>
            <w:r w:rsidRPr="00797ACE">
              <w:rPr>
                <w:rFonts w:ascii="Titillium Web" w:hAnsi="Titillium Web" w:cs="Times New Roman"/>
                <w:szCs w:val="24"/>
              </w:rPr>
              <w:t>2. Piatto di produzione locale (IG 16134; ceramica grigia)</w:t>
            </w:r>
          </w:p>
        </w:tc>
      </w:tr>
      <w:tr w:rsidR="001B5504" w:rsidRPr="00797ACE" w14:paraId="520D9732" w14:textId="77777777" w:rsidTr="001B5504">
        <w:trPr>
          <w:jc w:val="center"/>
        </w:trPr>
        <w:tc>
          <w:tcPr>
            <w:tcW w:w="1650" w:type="pct"/>
            <w:vAlign w:val="center"/>
          </w:tcPr>
          <w:p w14:paraId="24BE97D5"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Posizione del corredo</w:t>
            </w:r>
          </w:p>
        </w:tc>
        <w:tc>
          <w:tcPr>
            <w:tcW w:w="3350" w:type="pct"/>
            <w:vAlign w:val="center"/>
          </w:tcPr>
          <w:p w14:paraId="3ED37A74" w14:textId="1EA21C1B" w:rsidR="001B5504" w:rsidRPr="00797ACE" w:rsidRDefault="0018750D" w:rsidP="00BF212E">
            <w:pPr>
              <w:jc w:val="center"/>
              <w:rPr>
                <w:rFonts w:ascii="Titillium Web" w:hAnsi="Titillium Web"/>
                <w:szCs w:val="24"/>
              </w:rPr>
            </w:pPr>
            <w:r w:rsidRPr="00797ACE">
              <w:rPr>
                <w:rFonts w:ascii="Titillium Web" w:hAnsi="Titillium Web"/>
                <w:szCs w:val="24"/>
              </w:rPr>
              <w:t>Nessun oggetto rinvenuto</w:t>
            </w:r>
          </w:p>
        </w:tc>
      </w:tr>
      <w:tr w:rsidR="001B5504" w:rsidRPr="00797ACE" w14:paraId="05ACB002" w14:textId="77777777" w:rsidTr="001B5504">
        <w:trPr>
          <w:jc w:val="center"/>
        </w:trPr>
        <w:tc>
          <w:tcPr>
            <w:tcW w:w="1650" w:type="pct"/>
            <w:vAlign w:val="center"/>
          </w:tcPr>
          <w:p w14:paraId="6E6E37F2"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Stato di conservazione e affidabilità del corredo</w:t>
            </w:r>
          </w:p>
        </w:tc>
        <w:tc>
          <w:tcPr>
            <w:tcW w:w="3350" w:type="pct"/>
            <w:vAlign w:val="center"/>
          </w:tcPr>
          <w:p w14:paraId="66E8A271" w14:textId="7FA4A1D3" w:rsidR="001B5504" w:rsidRPr="00797ACE" w:rsidRDefault="006A7886" w:rsidP="006A7886">
            <w:pPr>
              <w:jc w:val="center"/>
              <w:rPr>
                <w:rFonts w:ascii="Titillium Web" w:hAnsi="Titillium Web" w:cs="Times New Roman"/>
                <w:szCs w:val="24"/>
              </w:rPr>
            </w:pPr>
            <w:r w:rsidRPr="00797ACE">
              <w:rPr>
                <w:rFonts w:ascii="Titillium Web" w:hAnsi="Titillium Web" w:cs="Times New Roman"/>
                <w:szCs w:val="24"/>
              </w:rPr>
              <w:t xml:space="preserve">Si esclude dal corredo un piatto da pesce attico a </w:t>
            </w:r>
            <w:proofErr w:type="spellStart"/>
            <w:r w:rsidRPr="00797ACE">
              <w:rPr>
                <w:rFonts w:ascii="Titillium Web" w:hAnsi="Titillium Web" w:cs="Times New Roman"/>
                <w:szCs w:val="24"/>
              </w:rPr>
              <w:t>f.r</w:t>
            </w:r>
            <w:proofErr w:type="spellEnd"/>
            <w:r w:rsidRPr="00797ACE">
              <w:rPr>
                <w:rFonts w:ascii="Titillium Web" w:hAnsi="Titillium Web" w:cs="Times New Roman"/>
                <w:szCs w:val="24"/>
              </w:rPr>
              <w:t>., poiché non menzionato nel GdS.</w:t>
            </w:r>
          </w:p>
        </w:tc>
      </w:tr>
      <w:tr w:rsidR="001B5504" w:rsidRPr="00797ACE" w14:paraId="6E424069" w14:textId="77777777" w:rsidTr="001B5504">
        <w:trPr>
          <w:jc w:val="center"/>
        </w:trPr>
        <w:tc>
          <w:tcPr>
            <w:tcW w:w="1650" w:type="pct"/>
            <w:vAlign w:val="center"/>
          </w:tcPr>
          <w:p w14:paraId="4CE8DFDE"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Genere (legato all’analisi del corredo)</w:t>
            </w:r>
          </w:p>
        </w:tc>
        <w:tc>
          <w:tcPr>
            <w:tcW w:w="3350" w:type="pct"/>
            <w:vAlign w:val="center"/>
          </w:tcPr>
          <w:p w14:paraId="04E55D8B" w14:textId="15D5D226" w:rsidR="001B5504" w:rsidRPr="00797ACE" w:rsidRDefault="001B5504" w:rsidP="00BF212E">
            <w:pPr>
              <w:jc w:val="center"/>
              <w:rPr>
                <w:rFonts w:ascii="Titillium Web" w:hAnsi="Titillium Web"/>
                <w:szCs w:val="24"/>
              </w:rPr>
            </w:pPr>
            <w:r w:rsidRPr="00797ACE">
              <w:rPr>
                <w:rFonts w:ascii="Titillium Web" w:hAnsi="Titillium Web"/>
                <w:szCs w:val="24"/>
              </w:rPr>
              <w:t>Non determinabile</w:t>
            </w:r>
          </w:p>
        </w:tc>
      </w:tr>
      <w:tr w:rsidR="001B5504" w:rsidRPr="00797ACE" w14:paraId="7C1BF645" w14:textId="77777777" w:rsidTr="001B5504">
        <w:trPr>
          <w:jc w:val="center"/>
        </w:trPr>
        <w:tc>
          <w:tcPr>
            <w:tcW w:w="1650" w:type="pct"/>
            <w:vAlign w:val="center"/>
          </w:tcPr>
          <w:p w14:paraId="7EADEEB5"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Sesso (legato alle analisi antropologiche)</w:t>
            </w:r>
          </w:p>
        </w:tc>
        <w:tc>
          <w:tcPr>
            <w:tcW w:w="3350" w:type="pct"/>
            <w:vAlign w:val="center"/>
          </w:tcPr>
          <w:p w14:paraId="5D17FB99" w14:textId="46EBB367" w:rsidR="001B5504" w:rsidRPr="00797ACE" w:rsidRDefault="001B5504" w:rsidP="00BF212E">
            <w:pPr>
              <w:jc w:val="center"/>
              <w:rPr>
                <w:rFonts w:ascii="Titillium Web" w:hAnsi="Titillium Web"/>
                <w:szCs w:val="24"/>
              </w:rPr>
            </w:pPr>
            <w:r w:rsidRPr="00797ACE">
              <w:rPr>
                <w:rFonts w:ascii="Titillium Web" w:hAnsi="Titillium Web"/>
                <w:szCs w:val="24"/>
              </w:rPr>
              <w:t>Non determinabile</w:t>
            </w:r>
          </w:p>
        </w:tc>
      </w:tr>
      <w:tr w:rsidR="001B5504" w:rsidRPr="00797ACE" w14:paraId="498C4222" w14:textId="77777777" w:rsidTr="001B5504">
        <w:trPr>
          <w:jc w:val="center"/>
        </w:trPr>
        <w:tc>
          <w:tcPr>
            <w:tcW w:w="1650" w:type="pct"/>
            <w:vAlign w:val="center"/>
          </w:tcPr>
          <w:p w14:paraId="57C39F2A"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Classi di età</w:t>
            </w:r>
          </w:p>
        </w:tc>
        <w:tc>
          <w:tcPr>
            <w:tcW w:w="3350" w:type="pct"/>
            <w:vAlign w:val="center"/>
          </w:tcPr>
          <w:p w14:paraId="3FA8CB4E" w14:textId="5B4E47B7" w:rsidR="001B5504" w:rsidRPr="00797ACE" w:rsidRDefault="001B5504" w:rsidP="00BF212E">
            <w:pPr>
              <w:jc w:val="center"/>
              <w:rPr>
                <w:rFonts w:ascii="Titillium Web" w:hAnsi="Titillium Web"/>
                <w:szCs w:val="24"/>
              </w:rPr>
            </w:pPr>
            <w:r w:rsidRPr="00797ACE">
              <w:rPr>
                <w:rFonts w:ascii="Titillium Web" w:hAnsi="Titillium Web"/>
                <w:szCs w:val="24"/>
              </w:rPr>
              <w:t>Non determinabile</w:t>
            </w:r>
          </w:p>
        </w:tc>
      </w:tr>
      <w:tr w:rsidR="001B5504" w:rsidRPr="00797ACE" w14:paraId="698056B7" w14:textId="77777777" w:rsidTr="001B5504">
        <w:trPr>
          <w:jc w:val="center"/>
        </w:trPr>
        <w:tc>
          <w:tcPr>
            <w:tcW w:w="1650" w:type="pct"/>
            <w:vAlign w:val="center"/>
          </w:tcPr>
          <w:p w14:paraId="225E12C1"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Cronologia</w:t>
            </w:r>
          </w:p>
        </w:tc>
        <w:tc>
          <w:tcPr>
            <w:tcW w:w="3350" w:type="pct"/>
            <w:vAlign w:val="center"/>
          </w:tcPr>
          <w:p w14:paraId="440AB2F6" w14:textId="65221464" w:rsidR="001B5504" w:rsidRPr="00797ACE" w:rsidRDefault="001B5504" w:rsidP="00BF212E">
            <w:pPr>
              <w:jc w:val="center"/>
              <w:rPr>
                <w:rFonts w:ascii="Titillium Web" w:hAnsi="Titillium Web"/>
                <w:szCs w:val="24"/>
              </w:rPr>
            </w:pPr>
            <w:r w:rsidRPr="00797ACE">
              <w:rPr>
                <w:rFonts w:ascii="Titillium Web" w:hAnsi="Titillium Web"/>
                <w:szCs w:val="24"/>
              </w:rPr>
              <w:t>Non determinabile</w:t>
            </w:r>
          </w:p>
        </w:tc>
      </w:tr>
      <w:tr w:rsidR="001B5504" w:rsidRPr="00797ACE" w14:paraId="3105DEE4" w14:textId="77777777" w:rsidTr="001B5504">
        <w:trPr>
          <w:jc w:val="center"/>
        </w:trPr>
        <w:tc>
          <w:tcPr>
            <w:tcW w:w="1650" w:type="pct"/>
            <w:vAlign w:val="center"/>
          </w:tcPr>
          <w:p w14:paraId="2DF8B210"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Bibliografia (della tomba)</w:t>
            </w:r>
          </w:p>
        </w:tc>
        <w:tc>
          <w:tcPr>
            <w:tcW w:w="3350" w:type="pct"/>
            <w:vAlign w:val="center"/>
          </w:tcPr>
          <w:p w14:paraId="38D3D101" w14:textId="4E6B9C87" w:rsidR="001B5504" w:rsidRPr="00797ACE" w:rsidRDefault="009C4975" w:rsidP="00BF212E">
            <w:pPr>
              <w:jc w:val="center"/>
              <w:rPr>
                <w:rFonts w:ascii="Titillium Web" w:hAnsi="Titillium Web"/>
                <w:szCs w:val="24"/>
              </w:rPr>
            </w:pPr>
            <w:r>
              <w:rPr>
                <w:rFonts w:ascii="Titillium Web" w:hAnsi="Titillium Web"/>
                <w:szCs w:val="24"/>
              </w:rPr>
              <w:t>/</w:t>
            </w:r>
          </w:p>
        </w:tc>
      </w:tr>
      <w:tr w:rsidR="001B5504" w:rsidRPr="00797ACE" w14:paraId="6887A6E3" w14:textId="77777777" w:rsidTr="001B5504">
        <w:trPr>
          <w:jc w:val="center"/>
        </w:trPr>
        <w:tc>
          <w:tcPr>
            <w:tcW w:w="1650" w:type="pct"/>
            <w:vAlign w:val="center"/>
          </w:tcPr>
          <w:p w14:paraId="4944AE43" w14:textId="77777777" w:rsidR="001B5504" w:rsidRPr="00797ACE" w:rsidRDefault="001B5504" w:rsidP="00BF212E">
            <w:pPr>
              <w:jc w:val="center"/>
              <w:rPr>
                <w:rFonts w:ascii="Titillium Web" w:hAnsi="Titillium Web"/>
                <w:smallCaps/>
                <w:szCs w:val="24"/>
              </w:rPr>
            </w:pPr>
            <w:r w:rsidRPr="00797ACE">
              <w:rPr>
                <w:rFonts w:ascii="Titillium Web" w:hAnsi="Titillium Web"/>
                <w:smallCaps/>
                <w:szCs w:val="24"/>
              </w:rPr>
              <w:t>Link alla pubblicazione</w:t>
            </w:r>
          </w:p>
        </w:tc>
        <w:tc>
          <w:tcPr>
            <w:tcW w:w="3350" w:type="pct"/>
            <w:vAlign w:val="center"/>
          </w:tcPr>
          <w:p w14:paraId="6ADE2D95" w14:textId="5EBDA977" w:rsidR="001B5504" w:rsidRPr="00797ACE" w:rsidRDefault="001B5504" w:rsidP="00BF212E">
            <w:pPr>
              <w:jc w:val="center"/>
              <w:rPr>
                <w:rFonts w:ascii="Titillium Web" w:hAnsi="Titillium Web"/>
                <w:szCs w:val="24"/>
              </w:rPr>
            </w:pPr>
          </w:p>
        </w:tc>
      </w:tr>
    </w:tbl>
    <w:p w14:paraId="4DC97993" w14:textId="77777777" w:rsidR="001B5504" w:rsidRPr="00C30F5C" w:rsidRDefault="001B5504" w:rsidP="001B5504">
      <w:pPr>
        <w:jc w:val="center"/>
        <w:rPr>
          <w:rFonts w:ascii="Titillium Web" w:hAnsi="Titillium Web"/>
          <w:b/>
          <w:bCs/>
          <w:sz w:val="28"/>
          <w:szCs w:val="24"/>
        </w:rPr>
      </w:pPr>
    </w:p>
    <w:sectPr w:rsidR="001B5504" w:rsidRPr="00C30F5C" w:rsidSect="005B5AFF">
      <w:pgSz w:w="11906" w:h="16838"/>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itillium Web">
    <w:panose1 w:val="00000500000000000000"/>
    <w:charset w:val="00"/>
    <w:family w:val="auto"/>
    <w:pitch w:val="variable"/>
    <w:sig w:usb0="00000007" w:usb1="00000001"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E35997"/>
    <w:multiLevelType w:val="hybridMultilevel"/>
    <w:tmpl w:val="C2DE6EE8"/>
    <w:lvl w:ilvl="0" w:tplc="FD9E36EE">
      <w:start w:val="13"/>
      <w:numFmt w:val="bullet"/>
      <w:lvlText w:val=""/>
      <w:lvlJc w:val="left"/>
      <w:pPr>
        <w:ind w:left="720" w:hanging="360"/>
      </w:pPr>
      <w:rPr>
        <w:rFonts w:ascii="Symbol" w:eastAsiaTheme="minorHAnsi" w:hAnsi="Symbol" w:cstheme="minorBid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47195BB3"/>
    <w:multiLevelType w:val="hybridMultilevel"/>
    <w:tmpl w:val="6C4E81A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843980534">
    <w:abstractNumId w:val="0"/>
  </w:num>
  <w:num w:numId="2" w16cid:durableId="11396922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B2D"/>
    <w:rsid w:val="00014214"/>
    <w:rsid w:val="000D72F4"/>
    <w:rsid w:val="000F394C"/>
    <w:rsid w:val="0010451C"/>
    <w:rsid w:val="0018750D"/>
    <w:rsid w:val="001B5504"/>
    <w:rsid w:val="001F2833"/>
    <w:rsid w:val="0029024B"/>
    <w:rsid w:val="002977D7"/>
    <w:rsid w:val="002F1500"/>
    <w:rsid w:val="00472AF4"/>
    <w:rsid w:val="005B5AFF"/>
    <w:rsid w:val="0068458A"/>
    <w:rsid w:val="006A7886"/>
    <w:rsid w:val="00710B38"/>
    <w:rsid w:val="007145BC"/>
    <w:rsid w:val="0079438F"/>
    <w:rsid w:val="00797ACE"/>
    <w:rsid w:val="007D54CD"/>
    <w:rsid w:val="00942E70"/>
    <w:rsid w:val="00943EAC"/>
    <w:rsid w:val="00950348"/>
    <w:rsid w:val="00971EF6"/>
    <w:rsid w:val="00975CA9"/>
    <w:rsid w:val="00997946"/>
    <w:rsid w:val="009C4975"/>
    <w:rsid w:val="009E4922"/>
    <w:rsid w:val="00A52A70"/>
    <w:rsid w:val="00A65B85"/>
    <w:rsid w:val="00B165C4"/>
    <w:rsid w:val="00B86B2D"/>
    <w:rsid w:val="00BE2CB2"/>
    <w:rsid w:val="00BE63CC"/>
    <w:rsid w:val="00BF212E"/>
    <w:rsid w:val="00C21EE0"/>
    <w:rsid w:val="00C30F5C"/>
    <w:rsid w:val="00CC46E5"/>
    <w:rsid w:val="00D54723"/>
    <w:rsid w:val="00DB1668"/>
    <w:rsid w:val="00E0524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66EA0"/>
  <w15:chartTrackingRefBased/>
  <w15:docId w15:val="{475B289C-F9A1-4717-B3D6-E982B8FC7C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it-IT" w:eastAsia="en-US" w:bidi="ar-SA"/>
        <w14:ligatures w14:val="standardContextual"/>
      </w:rPr>
    </w:rPrDefault>
    <w:pPrDefault>
      <w:pPr>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014214"/>
  </w:style>
  <w:style w:type="paragraph" w:styleId="Titolo1">
    <w:name w:val="heading 1"/>
    <w:basedOn w:val="Normale"/>
    <w:next w:val="Normale"/>
    <w:link w:val="Titolo1Carattere"/>
    <w:uiPriority w:val="9"/>
    <w:qFormat/>
    <w:rsid w:val="00B86B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B86B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B86B2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B86B2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B86B2D"/>
    <w:pPr>
      <w:keepNext/>
      <w:keepLines/>
      <w:spacing w:before="80" w:after="40"/>
      <w:outlineLvl w:val="4"/>
    </w:pPr>
    <w:rPr>
      <w:rFonts w:asciiTheme="minorHAnsi" w:eastAsiaTheme="majorEastAsia" w:hAnsiTheme="minorHAnsi" w:cstheme="majorBidi"/>
      <w:color w:val="0F4761" w:themeColor="accent1" w:themeShade="BF"/>
    </w:rPr>
  </w:style>
  <w:style w:type="paragraph" w:styleId="Titolo6">
    <w:name w:val="heading 6"/>
    <w:basedOn w:val="Normale"/>
    <w:next w:val="Normale"/>
    <w:link w:val="Titolo6Carattere"/>
    <w:uiPriority w:val="9"/>
    <w:semiHidden/>
    <w:unhideWhenUsed/>
    <w:qFormat/>
    <w:rsid w:val="00B86B2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itolo7">
    <w:name w:val="heading 7"/>
    <w:basedOn w:val="Normale"/>
    <w:next w:val="Normale"/>
    <w:link w:val="Titolo7Carattere"/>
    <w:uiPriority w:val="9"/>
    <w:semiHidden/>
    <w:unhideWhenUsed/>
    <w:qFormat/>
    <w:rsid w:val="00B86B2D"/>
    <w:pPr>
      <w:keepNext/>
      <w:keepLines/>
      <w:spacing w:before="40" w:after="0"/>
      <w:outlineLvl w:val="6"/>
    </w:pPr>
    <w:rPr>
      <w:rFonts w:asciiTheme="minorHAnsi" w:eastAsiaTheme="majorEastAsia" w:hAnsiTheme="minorHAnsi" w:cstheme="majorBidi"/>
      <w:color w:val="595959" w:themeColor="text1" w:themeTint="A6"/>
    </w:rPr>
  </w:style>
  <w:style w:type="paragraph" w:styleId="Titolo8">
    <w:name w:val="heading 8"/>
    <w:basedOn w:val="Normale"/>
    <w:next w:val="Normale"/>
    <w:link w:val="Titolo8Carattere"/>
    <w:uiPriority w:val="9"/>
    <w:semiHidden/>
    <w:unhideWhenUsed/>
    <w:qFormat/>
    <w:rsid w:val="00B86B2D"/>
    <w:pPr>
      <w:keepNext/>
      <w:keepLines/>
      <w:spacing w:after="0"/>
      <w:outlineLvl w:val="7"/>
    </w:pPr>
    <w:rPr>
      <w:rFonts w:asciiTheme="minorHAnsi" w:eastAsiaTheme="majorEastAsia" w:hAnsiTheme="minorHAnsi" w:cstheme="majorBidi"/>
      <w:i/>
      <w:iCs/>
      <w:color w:val="272727" w:themeColor="text1" w:themeTint="D8"/>
    </w:rPr>
  </w:style>
  <w:style w:type="paragraph" w:styleId="Titolo9">
    <w:name w:val="heading 9"/>
    <w:basedOn w:val="Normale"/>
    <w:next w:val="Normale"/>
    <w:link w:val="Titolo9Carattere"/>
    <w:uiPriority w:val="9"/>
    <w:semiHidden/>
    <w:unhideWhenUsed/>
    <w:qFormat/>
    <w:rsid w:val="00B86B2D"/>
    <w:pPr>
      <w:keepNext/>
      <w:keepLines/>
      <w:spacing w:after="0"/>
      <w:outlineLvl w:val="8"/>
    </w:pPr>
    <w:rPr>
      <w:rFonts w:asciiTheme="minorHAnsi" w:eastAsiaTheme="majorEastAsia" w:hAnsiTheme="minorHAnsi"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B86B2D"/>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B86B2D"/>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B86B2D"/>
    <w:rPr>
      <w:rFonts w:asciiTheme="minorHAnsi" w:eastAsiaTheme="majorEastAsia" w:hAnsiTheme="minorHAnsi"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B86B2D"/>
    <w:rPr>
      <w:rFonts w:asciiTheme="minorHAnsi" w:eastAsiaTheme="majorEastAsia" w:hAnsiTheme="minorHAnsi" w:cstheme="majorBidi"/>
      <w:i/>
      <w:iCs/>
      <w:color w:val="0F4761" w:themeColor="accent1" w:themeShade="BF"/>
    </w:rPr>
  </w:style>
  <w:style w:type="character" w:customStyle="1" w:styleId="Titolo5Carattere">
    <w:name w:val="Titolo 5 Carattere"/>
    <w:basedOn w:val="Carpredefinitoparagrafo"/>
    <w:link w:val="Titolo5"/>
    <w:uiPriority w:val="9"/>
    <w:semiHidden/>
    <w:rsid w:val="00B86B2D"/>
    <w:rPr>
      <w:rFonts w:asciiTheme="minorHAnsi" w:eastAsiaTheme="majorEastAsia" w:hAnsiTheme="minorHAnsi" w:cstheme="majorBidi"/>
      <w:color w:val="0F4761" w:themeColor="accent1" w:themeShade="BF"/>
    </w:rPr>
  </w:style>
  <w:style w:type="character" w:customStyle="1" w:styleId="Titolo6Carattere">
    <w:name w:val="Titolo 6 Carattere"/>
    <w:basedOn w:val="Carpredefinitoparagrafo"/>
    <w:link w:val="Titolo6"/>
    <w:uiPriority w:val="9"/>
    <w:semiHidden/>
    <w:rsid w:val="00B86B2D"/>
    <w:rPr>
      <w:rFonts w:asciiTheme="minorHAnsi" w:eastAsiaTheme="majorEastAsia" w:hAnsiTheme="minorHAnsi" w:cstheme="majorBidi"/>
      <w:i/>
      <w:iCs/>
      <w:color w:val="595959" w:themeColor="text1" w:themeTint="A6"/>
    </w:rPr>
  </w:style>
  <w:style w:type="character" w:customStyle="1" w:styleId="Titolo7Carattere">
    <w:name w:val="Titolo 7 Carattere"/>
    <w:basedOn w:val="Carpredefinitoparagrafo"/>
    <w:link w:val="Titolo7"/>
    <w:uiPriority w:val="9"/>
    <w:semiHidden/>
    <w:rsid w:val="00B86B2D"/>
    <w:rPr>
      <w:rFonts w:asciiTheme="minorHAnsi" w:eastAsiaTheme="majorEastAsia" w:hAnsiTheme="minorHAnsi" w:cstheme="majorBidi"/>
      <w:color w:val="595959" w:themeColor="text1" w:themeTint="A6"/>
    </w:rPr>
  </w:style>
  <w:style w:type="character" w:customStyle="1" w:styleId="Titolo8Carattere">
    <w:name w:val="Titolo 8 Carattere"/>
    <w:basedOn w:val="Carpredefinitoparagrafo"/>
    <w:link w:val="Titolo8"/>
    <w:uiPriority w:val="9"/>
    <w:semiHidden/>
    <w:rsid w:val="00B86B2D"/>
    <w:rPr>
      <w:rFonts w:asciiTheme="minorHAnsi" w:eastAsiaTheme="majorEastAsia" w:hAnsiTheme="minorHAnsi" w:cstheme="majorBidi"/>
      <w:i/>
      <w:iCs/>
      <w:color w:val="272727" w:themeColor="text1" w:themeTint="D8"/>
    </w:rPr>
  </w:style>
  <w:style w:type="character" w:customStyle="1" w:styleId="Titolo9Carattere">
    <w:name w:val="Titolo 9 Carattere"/>
    <w:basedOn w:val="Carpredefinitoparagrafo"/>
    <w:link w:val="Titolo9"/>
    <w:uiPriority w:val="9"/>
    <w:semiHidden/>
    <w:rsid w:val="00B86B2D"/>
    <w:rPr>
      <w:rFonts w:asciiTheme="minorHAnsi" w:eastAsiaTheme="majorEastAsia" w:hAnsiTheme="minorHAnsi" w:cstheme="majorBidi"/>
      <w:color w:val="272727" w:themeColor="text1" w:themeTint="D8"/>
    </w:rPr>
  </w:style>
  <w:style w:type="paragraph" w:styleId="Titolo">
    <w:name w:val="Title"/>
    <w:basedOn w:val="Normale"/>
    <w:next w:val="Normale"/>
    <w:link w:val="TitoloCarattere"/>
    <w:uiPriority w:val="10"/>
    <w:qFormat/>
    <w:rsid w:val="00B86B2D"/>
    <w:pPr>
      <w:spacing w:after="80"/>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B86B2D"/>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B86B2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B86B2D"/>
    <w:rPr>
      <w:rFonts w:asciiTheme="minorHAnsi" w:eastAsiaTheme="majorEastAsia" w:hAnsiTheme="minorHAnsi"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B86B2D"/>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B86B2D"/>
    <w:rPr>
      <w:i/>
      <w:iCs/>
      <w:color w:val="404040" w:themeColor="text1" w:themeTint="BF"/>
    </w:rPr>
  </w:style>
  <w:style w:type="paragraph" w:styleId="Paragrafoelenco">
    <w:name w:val="List Paragraph"/>
    <w:basedOn w:val="Normale"/>
    <w:uiPriority w:val="34"/>
    <w:qFormat/>
    <w:rsid w:val="00B86B2D"/>
    <w:pPr>
      <w:ind w:left="720"/>
      <w:contextualSpacing/>
    </w:pPr>
  </w:style>
  <w:style w:type="character" w:styleId="Enfasiintensa">
    <w:name w:val="Intense Emphasis"/>
    <w:basedOn w:val="Carpredefinitoparagrafo"/>
    <w:uiPriority w:val="21"/>
    <w:qFormat/>
    <w:rsid w:val="00B86B2D"/>
    <w:rPr>
      <w:i/>
      <w:iCs/>
      <w:color w:val="0F4761" w:themeColor="accent1" w:themeShade="BF"/>
    </w:rPr>
  </w:style>
  <w:style w:type="paragraph" w:styleId="Citazioneintensa">
    <w:name w:val="Intense Quote"/>
    <w:basedOn w:val="Normale"/>
    <w:next w:val="Normale"/>
    <w:link w:val="CitazioneintensaCarattere"/>
    <w:uiPriority w:val="30"/>
    <w:qFormat/>
    <w:rsid w:val="00B86B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B86B2D"/>
    <w:rPr>
      <w:i/>
      <w:iCs/>
      <w:color w:val="0F4761" w:themeColor="accent1" w:themeShade="BF"/>
    </w:rPr>
  </w:style>
  <w:style w:type="character" w:styleId="Riferimentointenso">
    <w:name w:val="Intense Reference"/>
    <w:basedOn w:val="Carpredefinitoparagrafo"/>
    <w:uiPriority w:val="32"/>
    <w:qFormat/>
    <w:rsid w:val="00B86B2D"/>
    <w:rPr>
      <w:b/>
      <w:bCs/>
      <w:smallCaps/>
      <w:color w:val="0F4761" w:themeColor="accent1" w:themeShade="BF"/>
      <w:spacing w:val="5"/>
    </w:rPr>
  </w:style>
  <w:style w:type="table" w:styleId="Grigliatabella">
    <w:name w:val="Table Grid"/>
    <w:basedOn w:val="Tabellanormale"/>
    <w:uiPriority w:val="39"/>
    <w:rsid w:val="00014214"/>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basedOn w:val="Carpredefinitoparagrafo"/>
    <w:uiPriority w:val="99"/>
    <w:unhideWhenUsed/>
    <w:rsid w:val="00950348"/>
    <w:rPr>
      <w:color w:val="467886" w:themeColor="hyperlink"/>
      <w:u w:val="single"/>
    </w:rPr>
  </w:style>
  <w:style w:type="paragraph" w:styleId="Revisione">
    <w:name w:val="Revision"/>
    <w:hidden/>
    <w:uiPriority w:val="99"/>
    <w:semiHidden/>
    <w:rsid w:val="00710B38"/>
    <w:pPr>
      <w:spacing w:after="0"/>
      <w:jc w:val="left"/>
    </w:pPr>
  </w:style>
  <w:style w:type="character" w:styleId="Rimandocommento">
    <w:name w:val="annotation reference"/>
    <w:basedOn w:val="Carpredefinitoparagrafo"/>
    <w:uiPriority w:val="99"/>
    <w:semiHidden/>
    <w:unhideWhenUsed/>
    <w:rsid w:val="00710B38"/>
    <w:rPr>
      <w:sz w:val="16"/>
      <w:szCs w:val="16"/>
    </w:rPr>
  </w:style>
  <w:style w:type="paragraph" w:styleId="Testocommento">
    <w:name w:val="annotation text"/>
    <w:basedOn w:val="Normale"/>
    <w:link w:val="TestocommentoCarattere"/>
    <w:uiPriority w:val="99"/>
    <w:semiHidden/>
    <w:unhideWhenUsed/>
    <w:rsid w:val="00710B38"/>
    <w:rPr>
      <w:sz w:val="20"/>
      <w:szCs w:val="20"/>
    </w:rPr>
  </w:style>
  <w:style w:type="character" w:customStyle="1" w:styleId="TestocommentoCarattere">
    <w:name w:val="Testo commento Carattere"/>
    <w:basedOn w:val="Carpredefinitoparagrafo"/>
    <w:link w:val="Testocommento"/>
    <w:uiPriority w:val="99"/>
    <w:semiHidden/>
    <w:rsid w:val="00710B38"/>
    <w:rPr>
      <w:sz w:val="20"/>
      <w:szCs w:val="20"/>
    </w:rPr>
  </w:style>
  <w:style w:type="paragraph" w:styleId="Soggettocommento">
    <w:name w:val="annotation subject"/>
    <w:basedOn w:val="Testocommento"/>
    <w:next w:val="Testocommento"/>
    <w:link w:val="SoggettocommentoCarattere"/>
    <w:uiPriority w:val="99"/>
    <w:semiHidden/>
    <w:unhideWhenUsed/>
    <w:rsid w:val="00710B38"/>
    <w:rPr>
      <w:b/>
      <w:bCs/>
    </w:rPr>
  </w:style>
  <w:style w:type="character" w:customStyle="1" w:styleId="SoggettocommentoCarattere">
    <w:name w:val="Soggetto commento Carattere"/>
    <w:basedOn w:val="TestocommentoCarattere"/>
    <w:link w:val="Soggettocommento"/>
    <w:uiPriority w:val="99"/>
    <w:semiHidden/>
    <w:rsid w:val="00710B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211</Words>
  <Characters>1207</Characters>
  <Application>Microsoft Office Word</Application>
  <DocSecurity>0</DocSecurity>
  <Lines>10</Lines>
  <Paragraphs>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martina castoldi</dc:creator>
  <cp:keywords/>
  <dc:description/>
  <cp:lastModifiedBy>martina castoldi</cp:lastModifiedBy>
  <cp:revision>17</cp:revision>
  <dcterms:created xsi:type="dcterms:W3CDTF">2026-04-28T14:33:00Z</dcterms:created>
  <dcterms:modified xsi:type="dcterms:W3CDTF">2026-05-18T08:32:00Z</dcterms:modified>
</cp:coreProperties>
</file>