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27E7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A27E7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A27E7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A27E7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A27E7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A27E7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27E7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A27E7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ADE1AD3" w:rsidR="001B5504" w:rsidRPr="00A27E78" w:rsidRDefault="00A27E7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27E7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27E7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EF5DA89" w:rsidR="001B5504" w:rsidRPr="00A27E78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27E78">
              <w:rPr>
                <w:rFonts w:ascii="Titillium Web" w:hAnsi="Titillium Web"/>
                <w:i/>
                <w:iCs/>
                <w:szCs w:val="24"/>
              </w:rPr>
              <w:t>60 Tomba a inumazione –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  <w:t>A m. 1 a lev. della precedente, alla prof.tà di 0,70 appare uno scheletro orientato con la testa a lev. e i piedi a ponente.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  <w:t>Presso il fianco destro: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Un’oinocoe a ver. n.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>, intero; alto m 0,13 –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una lucerna intera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>, a v.n. diluita, con ansa orizzontale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uno skyfos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 xml:space="preserve"> a v.n., in frammenti, alto cm 13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altro </w:t>
            </w:r>
            <w:proofErr w:type="gramStart"/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“ piccolo</w:t>
            </w:r>
            <w:proofErr w:type="gramEnd"/>
            <w:r w:rsidRPr="00A27E78">
              <w:rPr>
                <w:rFonts w:ascii="Titillium Web" w:hAnsi="Titillium Web"/>
                <w:i/>
                <w:iCs/>
                <w:szCs w:val="24"/>
              </w:rPr>
              <w:t>, alto cm 9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una scodella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 xml:space="preserve"> a v.n. con piede, diametro cm 16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quattro (4) piattelli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 xml:space="preserve"> d’impasto cenerognolo di fattura locale uno dei quali in frammenti;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  <w:t xml:space="preserve">e presso la mano des. aveva: </w:t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un frammento di metallo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 xml:space="preserve"> (bronzo?)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A27E78">
              <w:rPr>
                <w:rFonts w:ascii="Titillium Web" w:hAnsi="Titillium Web"/>
                <w:i/>
                <w:iCs/>
                <w:szCs w:val="24"/>
                <w:u w:val="single"/>
              </w:rPr>
              <w:t>due (2) balsamari di pasta vitrea</w:t>
            </w:r>
            <w:r w:rsidRPr="00A27E78">
              <w:rPr>
                <w:rFonts w:ascii="Titillium Web" w:hAnsi="Titillium Web"/>
                <w:i/>
                <w:iCs/>
                <w:szCs w:val="24"/>
              </w:rPr>
              <w:t xml:space="preserve"> con disegno a opus spicatum in frammenti uno, l’altro mancante della bocca (alti 0,11) a colori vari</w:t>
            </w:r>
          </w:p>
        </w:tc>
      </w:tr>
      <w:tr w:rsidR="001B5504" w:rsidRPr="00A27E7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AF80C04" w14:textId="45B7F5E1" w:rsidR="00A12F30" w:rsidRPr="00A27E78" w:rsidRDefault="008F7C45" w:rsidP="00A27E7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A27E78">
              <w:rPr>
                <w:rFonts w:ascii="Titillium Web" w:hAnsi="Titillium Web" w:cs="Times New Roman"/>
                <w:szCs w:val="24"/>
              </w:rPr>
              <w:t xml:space="preserve">Il corredo era disposto lungo il fianco destro. Fra gli oggetti di accompagno figuravano vasi attici a v.n. (nn. 1-5), vasi di produzione locale in ceramica grigia (nn. 6-9*), un </w:t>
            </w:r>
            <w:r w:rsidRPr="00A27E78">
              <w:rPr>
                <w:rFonts w:ascii="Titillium Web" w:hAnsi="Titillium Web" w:cs="Times New Roman"/>
                <w:i/>
                <w:iCs/>
                <w:szCs w:val="24"/>
              </w:rPr>
              <w:t>aes-rude</w:t>
            </w:r>
            <w:r w:rsidRPr="00A27E78">
              <w:rPr>
                <w:rFonts w:ascii="Titillium Web" w:hAnsi="Titillium Web" w:cs="Times New Roman"/>
                <w:szCs w:val="24"/>
              </w:rPr>
              <w:t xml:space="preserve"> in bronzo (n. 10) e due </w:t>
            </w:r>
            <w:r w:rsidRPr="00A27E78">
              <w:rPr>
                <w:rFonts w:ascii="Titillium Web" w:hAnsi="Titillium Web" w:cs="Times New Roman"/>
                <w:i/>
                <w:iCs/>
                <w:szCs w:val="24"/>
              </w:rPr>
              <w:t>alabastra</w:t>
            </w:r>
            <w:r w:rsidRPr="00A27E78">
              <w:rPr>
                <w:rFonts w:ascii="Titillium Web" w:hAnsi="Titillium Web" w:cs="Times New Roman"/>
                <w:szCs w:val="24"/>
              </w:rPr>
              <w:t xml:space="preserve"> in pasta vitrea (nn. 11-12). Risulta perduto uno dei piatti di produzione locale.</w:t>
            </w:r>
          </w:p>
          <w:p w14:paraId="7DF2AA43" w14:textId="7D3C4A72" w:rsidR="00A12F30" w:rsidRPr="00A27E78" w:rsidRDefault="00027B45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1. </w:t>
            </w:r>
            <w:r w:rsidR="00A12F30" w:rsidRPr="00A27E78">
              <w:rPr>
                <w:rFonts w:ascii="Titillium Web" w:hAnsi="Titillium Web"/>
                <w:szCs w:val="24"/>
              </w:rPr>
              <w:t>Oinochoe attica a bocca trilobata (IG 745; vernice nera)</w:t>
            </w:r>
          </w:p>
          <w:p w14:paraId="617AD276" w14:textId="32A6A556" w:rsidR="00A12F30" w:rsidRPr="00A27E78" w:rsidRDefault="00027B45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2. </w:t>
            </w:r>
            <w:r w:rsidR="00A12F30" w:rsidRPr="00A27E78">
              <w:rPr>
                <w:rFonts w:ascii="Titillium Web" w:hAnsi="Titillium Web"/>
                <w:szCs w:val="24"/>
              </w:rPr>
              <w:t>Skyphos attico (IG 730; vernice nera)</w:t>
            </w:r>
          </w:p>
          <w:p w14:paraId="3FE8D81A" w14:textId="4CA7DCFB" w:rsidR="00A12F30" w:rsidRPr="00A27E78" w:rsidRDefault="00027B45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3. </w:t>
            </w:r>
            <w:r w:rsidR="00A12F30" w:rsidRPr="00A27E78">
              <w:rPr>
                <w:rFonts w:ascii="Titillium Web" w:hAnsi="Titillium Web"/>
                <w:szCs w:val="24"/>
              </w:rPr>
              <w:t>Skyphos attico (IG 741; vernice nera)</w:t>
            </w:r>
          </w:p>
          <w:p w14:paraId="62B7321D" w14:textId="7D7CB3BC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lastRenderedPageBreak/>
              <w:t xml:space="preserve">4. </w:t>
            </w:r>
            <w:r w:rsidR="00A12F30" w:rsidRPr="00A27E78">
              <w:rPr>
                <w:rFonts w:ascii="Titillium Web" w:hAnsi="Titillium Web"/>
                <w:szCs w:val="24"/>
              </w:rPr>
              <w:t>Askòs attico ad anello (IG 744; vernice nera)</w:t>
            </w:r>
          </w:p>
          <w:p w14:paraId="290A661E" w14:textId="51F2135B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5. </w:t>
            </w:r>
            <w:r w:rsidR="00A12F30" w:rsidRPr="00A27E78">
              <w:rPr>
                <w:rFonts w:ascii="Titillium Web" w:hAnsi="Titillium Web"/>
                <w:szCs w:val="24"/>
              </w:rPr>
              <w:t>Ciotola su alto piede di produzione incerta (IG 731; vernice nera)</w:t>
            </w:r>
          </w:p>
          <w:p w14:paraId="0EFC4FBD" w14:textId="64D619F3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6. </w:t>
            </w:r>
            <w:r w:rsidR="00A12F30" w:rsidRPr="00A27E78">
              <w:rPr>
                <w:rFonts w:ascii="Titillium Web" w:hAnsi="Titillium Web"/>
                <w:szCs w:val="24"/>
              </w:rPr>
              <w:t>Piatto di produzione locale (IG 733; ceramica grigia)</w:t>
            </w:r>
          </w:p>
          <w:p w14:paraId="008BBA0A" w14:textId="4757337D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7. </w:t>
            </w:r>
            <w:r w:rsidR="00A12F30" w:rsidRPr="00A27E78">
              <w:rPr>
                <w:rFonts w:ascii="Titillium Web" w:hAnsi="Titillium Web"/>
                <w:szCs w:val="24"/>
              </w:rPr>
              <w:t>Piatto di produzione locale (IG 740; ceramica grigia)</w:t>
            </w:r>
          </w:p>
          <w:p w14:paraId="0B6CC3D7" w14:textId="0F372E77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8. </w:t>
            </w:r>
            <w:r w:rsidR="00A12F30" w:rsidRPr="00A27E78">
              <w:rPr>
                <w:rFonts w:ascii="Titillium Web" w:hAnsi="Titillium Web"/>
                <w:szCs w:val="24"/>
              </w:rPr>
              <w:t>Piatto di produzione locale (IG 16131; ceramica grigia)</w:t>
            </w:r>
          </w:p>
          <w:p w14:paraId="66A1B70B" w14:textId="7D238007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9*. </w:t>
            </w:r>
            <w:r w:rsidR="00A12F30" w:rsidRPr="00A27E78">
              <w:rPr>
                <w:rFonts w:ascii="Titillium Web" w:hAnsi="Titillium Web"/>
                <w:szCs w:val="24"/>
              </w:rPr>
              <w:t>Piattello di produzione locale (ceramica grigia)</w:t>
            </w:r>
          </w:p>
          <w:p w14:paraId="64F7FF37" w14:textId="7F690505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10. </w:t>
            </w:r>
            <w:r w:rsidR="00A12F30" w:rsidRPr="00A27E78">
              <w:rPr>
                <w:rFonts w:ascii="Titillium Web" w:hAnsi="Titillium Web"/>
                <w:szCs w:val="24"/>
              </w:rPr>
              <w:t>Aes rude (IG 16132; bronzo)</w:t>
            </w:r>
          </w:p>
          <w:p w14:paraId="1906DDD0" w14:textId="2F13A6E2" w:rsidR="00A12F30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11. </w:t>
            </w:r>
            <w:r w:rsidR="00A12F30" w:rsidRPr="00A27E78">
              <w:rPr>
                <w:rFonts w:ascii="Titillium Web" w:hAnsi="Titillium Web"/>
                <w:szCs w:val="24"/>
              </w:rPr>
              <w:t>Alabastron (IG 743; pasta vitrea)</w:t>
            </w:r>
          </w:p>
          <w:p w14:paraId="5EE32F9C" w14:textId="7D3DC355" w:rsidR="001B5504" w:rsidRPr="00A27E78" w:rsidRDefault="00DA004A" w:rsidP="00A27E78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 xml:space="preserve">12. </w:t>
            </w:r>
            <w:r w:rsidR="00A12F30" w:rsidRPr="00A27E78">
              <w:rPr>
                <w:rFonts w:ascii="Titillium Web" w:hAnsi="Titillium Web"/>
                <w:szCs w:val="24"/>
              </w:rPr>
              <w:t>Alabastron (IG 742; pasta vitrea)</w:t>
            </w:r>
          </w:p>
        </w:tc>
      </w:tr>
      <w:tr w:rsidR="001B5504" w:rsidRPr="00A27E7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0716FE2" w:rsidR="001B5504" w:rsidRPr="00A27E78" w:rsidRDefault="00A27E7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A27E7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8555080" w:rsidR="001B5504" w:rsidRPr="00A27E78" w:rsidRDefault="00A75DE3" w:rsidP="00A75DE3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A27E78">
              <w:rPr>
                <w:rFonts w:ascii="Titillium Web" w:hAnsi="Titillium Web" w:cs="Times New Roman"/>
                <w:szCs w:val="24"/>
              </w:rPr>
              <w:t>Si escludono dal corredo un’</w:t>
            </w:r>
            <w:r w:rsidRPr="00A27E78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A27E78">
              <w:rPr>
                <w:rFonts w:ascii="Titillium Web" w:hAnsi="Titillium Web" w:cs="Times New Roman"/>
                <w:szCs w:val="24"/>
              </w:rPr>
              <w:t xml:space="preserve"> attica a v.n., una coppa e cinque piatti di produzione locale in ceramica grigia e depurata ed un chiodo in bronzo, poiché non menzionati nel GdS.</w:t>
            </w:r>
          </w:p>
        </w:tc>
      </w:tr>
      <w:tr w:rsidR="001B5504" w:rsidRPr="00A27E7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7E7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7E7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7E7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7E78">
              <w:rPr>
                <w:rFonts w:ascii="Titillium Web" w:hAnsi="Titillium Web"/>
                <w:szCs w:val="24"/>
              </w:rPr>
              <w:t>475-450 a.C.</w:t>
            </w:r>
          </w:p>
        </w:tc>
      </w:tr>
      <w:tr w:rsidR="001B5504" w:rsidRPr="00A27E7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7285546E" w:rsidR="001B5504" w:rsidRPr="00A27E78" w:rsidRDefault="00775AC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27E7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27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7E7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27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27B45"/>
    <w:rsid w:val="000D72F4"/>
    <w:rsid w:val="001B5504"/>
    <w:rsid w:val="001F2833"/>
    <w:rsid w:val="0029024B"/>
    <w:rsid w:val="002977D7"/>
    <w:rsid w:val="002F1500"/>
    <w:rsid w:val="00472AF4"/>
    <w:rsid w:val="005B5AFF"/>
    <w:rsid w:val="005C70B9"/>
    <w:rsid w:val="0068458A"/>
    <w:rsid w:val="00710B38"/>
    <w:rsid w:val="007145BC"/>
    <w:rsid w:val="00775AC8"/>
    <w:rsid w:val="007D54CD"/>
    <w:rsid w:val="008F7C45"/>
    <w:rsid w:val="00942E70"/>
    <w:rsid w:val="00943EAC"/>
    <w:rsid w:val="00950348"/>
    <w:rsid w:val="00975CA9"/>
    <w:rsid w:val="00997946"/>
    <w:rsid w:val="009E4922"/>
    <w:rsid w:val="00A12F30"/>
    <w:rsid w:val="00A27E78"/>
    <w:rsid w:val="00A52A70"/>
    <w:rsid w:val="00A65B85"/>
    <w:rsid w:val="00A75DE3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A004A"/>
    <w:rsid w:val="00DB1668"/>
    <w:rsid w:val="00E0524C"/>
    <w:rsid w:val="00E1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2026-05-18T08:32:00Z</dcterms:modified>
</cp:coreProperties>
</file>