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81A39F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Tomba 607 - a umazione –</w:t>
            </w:r>
          </w:p>
          <w:p w14:paraId="626ECB6C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È tutta avvolta in una cementazione di calce.</w:t>
            </w:r>
          </w:p>
          <w:p w14:paraId="4F7EE512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A m 153 dal B, a m 28 a nord della linea O-E, e a m 0,95 di profondità, giaceva uno scheletro orientato da NO a </w:t>
            </w:r>
            <w:proofErr w:type="gramStart"/>
            <w:r w:rsidRPr="00643F3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. Prima ad apparire è la bocca di una kelebe in pezzi, entro la quale cementata completamente fra la calce si scorge il collo e la bocca di un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 grande di forma slanciata, con bocca trilobata e a figure rosse. (È in frammenti) Tutta la tomba è avvolta in un cemento compatto e riesce una enorme difficoltà a scavarla; oggetti, scheletro e calce formano un blocco durissimo e compatto. Il piano della tomba pure è un blocco di cemento sul quali si slabbrano e si rompono le vanghe di ferro. Lo scheletro d</w:t>
            </w:r>
            <w:r w:rsidRPr="00643F38">
              <w:rPr>
                <w:rFonts w:ascii="Titillium Web" w:hAnsi="Titillium Web"/>
                <w:i/>
                <w:iCs/>
                <w:szCs w:val="24"/>
              </w:rPr>
              <w:t>eve essere appartenuto a persona molto grande, poiché era lungo m 2 e le ossa erano di spessore e di lunghezza fuori dal comune. Ho raccolto una femore (in pezzi) che era cementato nella calce. Presso la destra si rinvenne</w:t>
            </w:r>
          </w:p>
          <w:p w14:paraId="5226C086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1 frammento informe di bronzo e 1 ciprea e frammenti di fibula di bronzo</w:t>
            </w:r>
          </w:p>
          <w:p w14:paraId="33B4BE7B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Presso la mano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>. dello scheletro si rinvenne un meschinissimo avanzo di strigile di bronzo, completamente marcito.</w:t>
            </w:r>
          </w:p>
          <w:p w14:paraId="37FC3A71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Dietro la testa dello scheletro era</w:t>
            </w:r>
          </w:p>
          <w:p w14:paraId="625ADF02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pempobolom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 di bronzo con 6 punte una delle quali al centro ha un anello; il manico è staccato e marcito perché era di spessore sottile, la forma dell’oggetto è a ragno.</w:t>
            </w:r>
          </w:p>
          <w:p w14:paraId="532A4763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lastRenderedPageBreak/>
              <w:t>La kelebe era in pezzi, spaccata dall’azione della calce che aveva gonfiato al contatto dell’acqua; è figurata (a f. rosse) non è possibile per ora descrivere anche sommariamente la scena poiché è coperta da concrezione durissima. Il rovescio è disegnato come al solito in maniera affrettata.</w:t>
            </w:r>
          </w:p>
          <w:p w14:paraId="18017DE1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Entro la kelebe era stato posto:</w:t>
            </w:r>
          </w:p>
          <w:p w14:paraId="0C46DD35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1 grande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>, di forma elegante e slanciata, con bocca trilobata e ansa verticale: è a figure rosse e sembra di bellissimo disegno, è in pezzi e coperta da concrezioni calcaree, in 54 frammenti restaurato Amazzoni e guerrieri</w:t>
            </w:r>
          </w:p>
          <w:p w14:paraId="15A10423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Nelle scodelle e nei piattelli si rinvennero e uova e ossa di pollo e di altri animali domestici.</w:t>
            </w:r>
          </w:p>
          <w:p w14:paraId="5D2869EF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Presso la kelebe si rinvennero:</w:t>
            </w:r>
          </w:p>
          <w:p w14:paraId="7274F101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1 bellissimo kotyle troncoconico, di lavoro fine e di dimensione un po’ grande. Presso l’orlo gira una stretta fascia di foglie di edera con viticci e fiori che dovevano essere dipinti, più abbasso una grossa zona di losanghe con puntini neri e presso il piede altra grossa fascia di palmette sovrapposte l’una all’altra ben disegnate.</w:t>
            </w:r>
          </w:p>
          <w:p w14:paraId="0B4EA4E2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A metà del corpo del vaso, fra le due zone è una piccola fascia rossa (risparmiata) nella quale si alternano e cani in corsa inseguenti una lepre. La kotyle è leggermente frammentaria, ma restaurabile per intero.</w:t>
            </w:r>
          </w:p>
          <w:p w14:paraId="63182CC5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Presso la destra dello scheletro:</w:t>
            </w:r>
          </w:p>
          <w:p w14:paraId="317A6406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1 kylix a figure rosse, in frammenti. Il disegno è coperto da concrezioni e non lo si può vedere nel medaglione fig. femminile con cassettina in mano. Furono raccolti una quantità rilevante di cocci di piattelli a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. n. con orlo in rosso risparmiato, di scodella a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. nera (una intera con nell’interno una mano in nero su fondo rosse, e nel fondello reca un’anfora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pontuta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 in scuro)</w:t>
            </w:r>
          </w:p>
          <w:p w14:paraId="3F5C0795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Scodelle e scodellini con piede a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. nera in frammenti (In una di queste, anzi quella intera con la mano dipinta, conteneva </w:t>
            </w:r>
            <w:proofErr w:type="gramStart"/>
            <w:r w:rsidRPr="00643F3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 gusci di uova).</w:t>
            </w:r>
          </w:p>
          <w:p w14:paraId="489BAAF5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Dato il fango e la calce che sporcava i frammenti dei vasi e vasetti in frammenti, non mi fu possibile fare una descrizione più dettagliata </w:t>
            </w:r>
            <w:proofErr w:type="gramStart"/>
            <w:r w:rsidRPr="00643F38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 conteggiare con sicurezza la quantità dei </w:t>
            </w:r>
            <w:r w:rsidRPr="00643F38">
              <w:rPr>
                <w:rFonts w:ascii="Titillium Web" w:hAnsi="Titillium Web"/>
                <w:i/>
                <w:iCs/>
                <w:szCs w:val="24"/>
              </w:rPr>
              <w:lastRenderedPageBreak/>
              <w:t>piattelli e scodelle poiché i cocci essendo molto avrebbero richiesto un tempo grandissimo.</w:t>
            </w:r>
          </w:p>
          <w:p w14:paraId="16FA4BF4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643F38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 a bocca trilobata, intero, con figura </w:t>
            </w:r>
            <w:proofErr w:type="gramStart"/>
            <w:r w:rsidRPr="00643F38">
              <w:rPr>
                <w:rFonts w:ascii="Titillium Web" w:hAnsi="Titillium Web"/>
                <w:i/>
                <w:iCs/>
                <w:szCs w:val="24"/>
              </w:rPr>
              <w:t>di  ...</w:t>
            </w:r>
            <w:proofErr w:type="gramEnd"/>
            <w:r w:rsidRPr="00643F38">
              <w:rPr>
                <w:rFonts w:ascii="Titillium Web" w:hAnsi="Titillium Web"/>
                <w:i/>
                <w:iCs/>
                <w:szCs w:val="24"/>
              </w:rPr>
              <w:t xml:space="preserve"> corrente verso d. e regge una patera (Disegno strapazzato)</w:t>
            </w:r>
          </w:p>
          <w:p w14:paraId="1B40860B" w14:textId="77777777" w:rsidR="00CA778D" w:rsidRPr="00643F38" w:rsidRDefault="00D111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3F38">
              <w:rPr>
                <w:rFonts w:ascii="Titillium Web" w:hAnsi="Titillium Web"/>
                <w:i/>
                <w:iCs/>
                <w:szCs w:val="24"/>
              </w:rPr>
              <w:t>1 altra in frammenti (figurata)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69F1C9F" w:rsidR="0086297F" w:rsidRPr="00643F38" w:rsidRDefault="00D92E7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2E7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43F38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43F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43F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3F3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630288" w14:textId="77777777" w:rsidR="00CA778D" w:rsidRPr="00643F38" w:rsidRDefault="00D1112F" w:rsidP="00643F38">
            <w:pPr>
              <w:jc w:val="center"/>
              <w:rPr>
                <w:rFonts w:ascii="Titillium Web" w:hAnsi="Titillium Web"/>
                <w:szCs w:val="24"/>
              </w:rPr>
            </w:pPr>
            <w:r w:rsidRPr="00643F3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43F3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31E6"/>
    <w:rsid w:val="000D72F4"/>
    <w:rsid w:val="001C17CC"/>
    <w:rsid w:val="001F2CD4"/>
    <w:rsid w:val="002977D7"/>
    <w:rsid w:val="00472AF4"/>
    <w:rsid w:val="00551AF8"/>
    <w:rsid w:val="005B5AFF"/>
    <w:rsid w:val="006162A4"/>
    <w:rsid w:val="006346F7"/>
    <w:rsid w:val="00643F38"/>
    <w:rsid w:val="006D6EFB"/>
    <w:rsid w:val="007145BC"/>
    <w:rsid w:val="0086297F"/>
    <w:rsid w:val="009E4922"/>
    <w:rsid w:val="00AB321D"/>
    <w:rsid w:val="00B165C4"/>
    <w:rsid w:val="00C21EE0"/>
    <w:rsid w:val="00CA778D"/>
    <w:rsid w:val="00D900AB"/>
    <w:rsid w:val="00D92E7D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2026-05-15T10:17:00Z</dcterms:modified>
</cp:coreProperties>
</file>