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6292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6292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6292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6292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6292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F6292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6292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292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292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CE42E8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>Tomba 612 - a cremazione</w:t>
            </w:r>
          </w:p>
          <w:p w14:paraId="72E988FB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 xml:space="preserve">A m 165 dal B, a m 10 a sud della linea O - E e a m 1,10 di profondità si rinviene un cratere a campana piantato dritto nella sabbia (etrusco campano?). È a fig. rosse e nel dritto è una scena di banchetto e nel rovescio </w:t>
            </w:r>
            <w:proofErr w:type="gramStart"/>
            <w:r w:rsidRPr="00F6292C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6292C">
              <w:rPr>
                <w:rFonts w:ascii="Titillium Web" w:hAnsi="Titillium Web"/>
                <w:i/>
                <w:iCs/>
                <w:szCs w:val="24"/>
              </w:rPr>
              <w:t xml:space="preserve"> figure ammantate.</w:t>
            </w:r>
          </w:p>
          <w:p w14:paraId="04390910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>È di disegno inabile e trascurato.</w:t>
            </w:r>
          </w:p>
          <w:p w14:paraId="1B1D524D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>Entro nel fondo, le ossa combuste.</w:t>
            </w:r>
          </w:p>
          <w:p w14:paraId="4EEB233F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>Il vaso è frammentato, nell’orlo, in una ansa, e presso il piede (che è staccato) ricomponibile per intero.</w:t>
            </w:r>
          </w:p>
          <w:p w14:paraId="2DB40879" w14:textId="77777777" w:rsidR="005F6580" w:rsidRPr="00F6292C" w:rsidRDefault="00B65A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292C">
              <w:rPr>
                <w:rFonts w:ascii="Titillium Web" w:hAnsi="Titillium Web"/>
                <w:i/>
                <w:iCs/>
                <w:szCs w:val="24"/>
              </w:rPr>
              <w:t>Sul terreno ove poggiava si notarono chiazze nerastre di bronzo decomposto: qualche fibula o oggettino di bronzo che si sarà completamente marcito.</w:t>
            </w:r>
          </w:p>
        </w:tc>
      </w:tr>
      <w:tr w:rsidR="0086297F" w:rsidRPr="00F6292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F6292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292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F6292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6292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6292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6292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292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B5C29A" w14:textId="77777777" w:rsidR="005F6580" w:rsidRPr="00F6292C" w:rsidRDefault="00B65A10" w:rsidP="00744566">
            <w:pPr>
              <w:jc w:val="center"/>
              <w:rPr>
                <w:rFonts w:ascii="Titillium Web" w:hAnsi="Titillium Web"/>
                <w:szCs w:val="24"/>
              </w:rPr>
            </w:pPr>
            <w:r w:rsidRPr="00F6292C">
              <w:rPr>
                <w:rFonts w:ascii="Titillium Web" w:eastAsia="Titillium" w:hAnsi="Titillium Web" w:cs="Titillium"/>
                <w:smallCaps/>
                <w:szCs w:val="24"/>
              </w:rPr>
              <w:t>Curti</w:t>
            </w:r>
            <w:r w:rsidRPr="00F6292C">
              <w:rPr>
                <w:rFonts w:ascii="Titillium Web" w:eastAsia="Titillium" w:hAnsi="Titillium Web" w:cs="Titillium"/>
                <w:szCs w:val="24"/>
              </w:rPr>
              <w:t xml:space="preserve"> 1993, pp. 292, 294-295; </w:t>
            </w:r>
            <w:r w:rsidRPr="00F6292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6292C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F6292C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6292C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F6580"/>
    <w:rsid w:val="006162A4"/>
    <w:rsid w:val="006346F7"/>
    <w:rsid w:val="006D6EFB"/>
    <w:rsid w:val="007145BC"/>
    <w:rsid w:val="00744566"/>
    <w:rsid w:val="0086297F"/>
    <w:rsid w:val="009E4922"/>
    <w:rsid w:val="00AB321D"/>
    <w:rsid w:val="00B165C4"/>
    <w:rsid w:val="00C06877"/>
    <w:rsid w:val="00C21EE0"/>
    <w:rsid w:val="00D900AB"/>
    <w:rsid w:val="00D936E8"/>
    <w:rsid w:val="00E24633"/>
    <w:rsid w:val="00F6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2026-05-14T19:47:00Z</dcterms:modified>
</cp:coreProperties>
</file>