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339B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339B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339B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339B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339B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1,11 m</w:t>
            </w:r>
          </w:p>
        </w:tc>
      </w:tr>
      <w:tr w:rsidR="0086297F" w:rsidRPr="001339B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339B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339B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339B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C3F67D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9B6">
              <w:rPr>
                <w:rFonts w:ascii="Titillium Web" w:hAnsi="Titillium Web"/>
                <w:i/>
                <w:iCs/>
                <w:szCs w:val="24"/>
              </w:rPr>
              <w:t>Tomba 623 a cremazione.</w:t>
            </w:r>
          </w:p>
          <w:p w14:paraId="4ED3F439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9B6">
              <w:rPr>
                <w:rFonts w:ascii="Titillium Web" w:hAnsi="Titillium Web"/>
                <w:i/>
                <w:iCs/>
                <w:szCs w:val="24"/>
              </w:rPr>
              <w:t xml:space="preserve">(con cassa di </w:t>
            </w:r>
            <w:proofErr w:type="gramStart"/>
            <w:r w:rsidRPr="001339B6">
              <w:rPr>
                <w:rFonts w:ascii="Titillium Web" w:hAnsi="Titillium Web"/>
                <w:i/>
                <w:iCs/>
                <w:szCs w:val="24"/>
              </w:rPr>
              <w:t>legno ?</w:t>
            </w:r>
            <w:proofErr w:type="gramEnd"/>
            <w:r w:rsidRPr="001339B6">
              <w:rPr>
                <w:rFonts w:ascii="Titillium Web" w:hAnsi="Titillium Web"/>
                <w:i/>
                <w:iCs/>
                <w:szCs w:val="24"/>
              </w:rPr>
              <w:t>)</w:t>
            </w:r>
          </w:p>
          <w:p w14:paraId="344D0E3E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9B6">
              <w:rPr>
                <w:rFonts w:ascii="Titillium Web" w:hAnsi="Titillium Web"/>
                <w:i/>
                <w:iCs/>
                <w:szCs w:val="24"/>
              </w:rPr>
              <w:t>A m. 65,50 dal B, a m. 1,00 a sud della linea del nuovo scavo, a m. 1,11 di prof. tà si rinviene una tomba a cremazione. In un mucchietto erano le ossa combuste e all’ingiro (a sud-ovest) erano disposti vasetti e scodelle e un’anfora vinaria.</w:t>
            </w:r>
          </w:p>
          <w:p w14:paraId="0B282AB5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9B6">
              <w:rPr>
                <w:rFonts w:ascii="Titillium Web" w:hAnsi="Titillium Web"/>
                <w:i/>
                <w:iCs/>
                <w:szCs w:val="24"/>
              </w:rPr>
              <w:t>Si notarono traccie di legno e fu raccolto anche un chiodo di ferro, il che farebbe supporre che la tomba fosse racchiusa in una cassa di legno, si raccolsero:</w:t>
            </w:r>
          </w:p>
          <w:p w14:paraId="1EFB0E7D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9B6">
              <w:rPr>
                <w:rFonts w:ascii="Titillium Web" w:hAnsi="Titillium Web"/>
                <w:i/>
                <w:iCs/>
                <w:szCs w:val="24"/>
              </w:rPr>
              <w:t>2 oinocoi a forma di fiasco, con bocca trilobata e disegni di testoni - uno è intero e l’altro è frammentario</w:t>
            </w:r>
          </w:p>
          <w:p w14:paraId="206795BF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9B6">
              <w:rPr>
                <w:rFonts w:ascii="Titillium Web" w:hAnsi="Titillium Web"/>
                <w:i/>
                <w:iCs/>
                <w:szCs w:val="24"/>
              </w:rPr>
              <w:t>2 kotylai imbutiformi, a vern. n. scadente, in molti frammenti.</w:t>
            </w:r>
          </w:p>
          <w:p w14:paraId="40E88D0A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9B6">
              <w:rPr>
                <w:rFonts w:ascii="Titillium Web" w:hAnsi="Titillium Web"/>
                <w:i/>
                <w:iCs/>
                <w:szCs w:val="24"/>
              </w:rPr>
              <w:t>1 tazzetta biansata, a vern. n. con impressioni di palmette; è rotta in due pezzi -</w:t>
            </w:r>
          </w:p>
          <w:p w14:paraId="34778B81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339B6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1339B6">
              <w:rPr>
                <w:rFonts w:ascii="Titillium Web" w:hAnsi="Titillium Web"/>
                <w:i/>
                <w:iCs/>
                <w:szCs w:val="24"/>
              </w:rPr>
              <w:t xml:space="preserve"> tazzette a vern. n. scadente; con impressioni di palmette, intere. Entro le tazzette erano gusci di uova e ossa di pollo.</w:t>
            </w:r>
          </w:p>
          <w:p w14:paraId="692FA9A7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339B6">
              <w:rPr>
                <w:rFonts w:ascii="Titillium Web" w:hAnsi="Titillium Web"/>
                <w:i/>
                <w:iCs/>
                <w:szCs w:val="24"/>
              </w:rPr>
              <w:t>11</w:t>
            </w:r>
            <w:proofErr w:type="gramEnd"/>
            <w:r w:rsidRPr="001339B6">
              <w:rPr>
                <w:rFonts w:ascii="Titillium Web" w:hAnsi="Titillium Web"/>
                <w:i/>
                <w:iCs/>
                <w:szCs w:val="24"/>
              </w:rPr>
              <w:t xml:space="preserve"> piccoli piattelli di argilla cenere scuro con leggerissima vernice bruno-scura; interi</w:t>
            </w:r>
          </w:p>
          <w:p w14:paraId="648C6B0B" w14:textId="77777777" w:rsidR="00CC53DB" w:rsidRPr="001339B6" w:rsidRDefault="00C36FD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9B6">
              <w:rPr>
                <w:rFonts w:ascii="Titillium Web" w:hAnsi="Titillium Web"/>
                <w:i/>
                <w:iCs/>
                <w:szCs w:val="24"/>
              </w:rPr>
              <w:t>1 anfora vinaria, pontuta, grezza e intera.</w:t>
            </w:r>
          </w:p>
        </w:tc>
      </w:tr>
      <w:tr w:rsidR="0086297F" w:rsidRPr="001339B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1339B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339B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339B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339B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339B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339B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9B6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79F37D1A" w14:textId="77777777" w:rsidR="00CC53DB" w:rsidRPr="001339B6" w:rsidRDefault="00C36FD8" w:rsidP="001339B6">
            <w:pPr>
              <w:jc w:val="center"/>
              <w:rPr>
                <w:rFonts w:ascii="Titillium Web" w:hAnsi="Titillium Web"/>
                <w:szCs w:val="24"/>
              </w:rPr>
            </w:pPr>
            <w:r w:rsidRPr="001339B6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1339B6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1339B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339B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39B6"/>
    <w:rsid w:val="001C17CC"/>
    <w:rsid w:val="002977D7"/>
    <w:rsid w:val="002A44B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C53D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2026-05-14T19:33:00Z</dcterms:modified>
</cp:coreProperties>
</file>